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Poznań</w:t>
      </w:r>
      <w:r w:rsidR="00052E82">
        <w:rPr>
          <w:rFonts w:ascii="Verdana" w:hAnsi="Verdana"/>
          <w:sz w:val="20"/>
          <w:szCs w:val="20"/>
        </w:rPr>
        <w:t xml:space="preserve">, </w:t>
      </w:r>
      <w:r w:rsidR="001E7FB7">
        <w:rPr>
          <w:rFonts w:ascii="Verdana" w:hAnsi="Verdana"/>
          <w:sz w:val="20"/>
          <w:szCs w:val="20"/>
        </w:rPr>
        <w:t>13</w:t>
      </w:r>
      <w:r w:rsidR="00CD1DF6">
        <w:rPr>
          <w:rFonts w:ascii="Verdana" w:hAnsi="Verdana"/>
          <w:sz w:val="20"/>
          <w:szCs w:val="20"/>
        </w:rPr>
        <w:t xml:space="preserve"> grudnia </w:t>
      </w:r>
      <w:r w:rsidR="00B6091A">
        <w:rPr>
          <w:rFonts w:ascii="Verdana" w:hAnsi="Verdana"/>
          <w:sz w:val="20"/>
          <w:szCs w:val="20"/>
        </w:rPr>
        <w:t>202</w:t>
      </w:r>
      <w:r w:rsidR="00BD425A">
        <w:rPr>
          <w:rFonts w:ascii="Verdana" w:hAnsi="Verdana"/>
          <w:sz w:val="20"/>
          <w:szCs w:val="20"/>
        </w:rPr>
        <w:t>3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8463FD" w:rsidRPr="00F2085A" w:rsidRDefault="00CD1DF6" w:rsidP="002100F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Legia, Wisła i Lewandowski najbardziej medialni w listopadzie. Znakomity wynik Jagiellonii</w:t>
      </w:r>
    </w:p>
    <w:p w:rsidR="00FE4DB2" w:rsidRDefault="00094F85" w:rsidP="00D414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Legia Warszawa była najbardziej medialnym klubem PKO BP Ekstraklasy </w:t>
      </w:r>
      <w:r w:rsidR="00FE4DB2">
        <w:rPr>
          <w:rFonts w:ascii="Verdana" w:hAnsi="Verdana"/>
          <w:b/>
          <w:sz w:val="20"/>
          <w:szCs w:val="20"/>
        </w:rPr>
        <w:t xml:space="preserve">także w listopadzie </w:t>
      </w:r>
      <w:r>
        <w:rPr>
          <w:rFonts w:ascii="Verdana" w:hAnsi="Verdana"/>
          <w:b/>
          <w:sz w:val="20"/>
          <w:szCs w:val="20"/>
        </w:rPr>
        <w:t xml:space="preserve">2023 roku. </w:t>
      </w:r>
      <w:r w:rsidR="00FE4DB2">
        <w:rPr>
          <w:rFonts w:ascii="Verdana" w:hAnsi="Verdana"/>
          <w:b/>
          <w:sz w:val="20"/>
          <w:szCs w:val="20"/>
        </w:rPr>
        <w:t>Niespodzianek nie</w:t>
      </w:r>
      <w:r w:rsidR="001E7FB7">
        <w:rPr>
          <w:rFonts w:ascii="Verdana" w:hAnsi="Verdana"/>
          <w:b/>
          <w:sz w:val="20"/>
          <w:szCs w:val="20"/>
        </w:rPr>
        <w:t xml:space="preserve"> było również </w:t>
      </w:r>
      <w:r w:rsidR="00FE4DB2">
        <w:rPr>
          <w:rFonts w:ascii="Verdana" w:hAnsi="Verdana"/>
          <w:b/>
          <w:sz w:val="20"/>
          <w:szCs w:val="20"/>
        </w:rPr>
        <w:t>w Fortuna I Lidze oraz wśród polskich piłkarzy lig TOP 5 – tam najlepsi okazali się Wisła Kraków i Robert Lewandowski. Do ciekawych sytuacji doszło jednak</w:t>
      </w:r>
      <w:r w:rsidR="00865EAA">
        <w:rPr>
          <w:rFonts w:ascii="Verdana" w:hAnsi="Verdana"/>
          <w:b/>
          <w:sz w:val="20"/>
          <w:szCs w:val="20"/>
        </w:rPr>
        <w:t xml:space="preserve"> za plecami zwycięzcó</w:t>
      </w:r>
      <w:r w:rsidR="00BE0161">
        <w:rPr>
          <w:rFonts w:ascii="Verdana" w:hAnsi="Verdana"/>
          <w:b/>
          <w:sz w:val="20"/>
          <w:szCs w:val="20"/>
        </w:rPr>
        <w:t>w</w:t>
      </w:r>
      <w:r w:rsidR="00865EAA">
        <w:rPr>
          <w:rFonts w:ascii="Verdana" w:hAnsi="Verdana"/>
          <w:b/>
          <w:sz w:val="20"/>
          <w:szCs w:val="20"/>
        </w:rPr>
        <w:t xml:space="preserve"> - wynika z analizy PSMM Monitoring &amp; </w:t>
      </w:r>
      <w:proofErr w:type="spellStart"/>
      <w:r w:rsidR="00865EAA">
        <w:rPr>
          <w:rFonts w:ascii="Verdana" w:hAnsi="Verdana"/>
          <w:b/>
          <w:sz w:val="20"/>
          <w:szCs w:val="20"/>
        </w:rPr>
        <w:t>More</w:t>
      </w:r>
      <w:proofErr w:type="spellEnd"/>
      <w:r w:rsidR="00865EAA">
        <w:rPr>
          <w:rFonts w:ascii="Verdana" w:hAnsi="Verdana"/>
          <w:b/>
          <w:sz w:val="20"/>
          <w:szCs w:val="20"/>
        </w:rPr>
        <w:t xml:space="preserve">. </w:t>
      </w:r>
    </w:p>
    <w:p w:rsidR="00147F8D" w:rsidRDefault="003C64D3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Legia </w:t>
      </w:r>
      <w:r w:rsidR="004D775F">
        <w:rPr>
          <w:rFonts w:ascii="Verdana" w:hAnsi="Verdana"/>
          <w:bCs/>
          <w:sz w:val="20"/>
          <w:szCs w:val="20"/>
        </w:rPr>
        <w:t xml:space="preserve">Warszawa </w:t>
      </w:r>
      <w:r w:rsidR="00957093">
        <w:rPr>
          <w:rFonts w:ascii="Verdana" w:hAnsi="Verdana"/>
          <w:bCs/>
          <w:sz w:val="20"/>
          <w:szCs w:val="20"/>
        </w:rPr>
        <w:t xml:space="preserve">była najpopularniejsza zarówno w Internecie, jak i mediach społecznościowych. </w:t>
      </w:r>
      <w:r w:rsidR="00A06976">
        <w:rPr>
          <w:rFonts w:ascii="Verdana" w:hAnsi="Verdana"/>
          <w:bCs/>
          <w:sz w:val="20"/>
          <w:szCs w:val="20"/>
        </w:rPr>
        <w:t>Stołeczny klub w listopadzie rywalizował zarówno w PKO BP Ekstraklasie, Lidze Konferencji Europy, jak i Fortuna Pucharze Polski, co wpłynęło na jego wynik medialny. Największe zainteresowanie wzbudził</w:t>
      </w:r>
      <w:r w:rsidR="00A11BBB">
        <w:rPr>
          <w:rFonts w:ascii="Verdana" w:hAnsi="Verdana"/>
          <w:bCs/>
          <w:sz w:val="20"/>
          <w:szCs w:val="20"/>
        </w:rPr>
        <w:t>o spotkanie z Lechem Poznań oraz</w:t>
      </w:r>
      <w:r w:rsidR="00A06976">
        <w:rPr>
          <w:rFonts w:ascii="Verdana" w:hAnsi="Verdana"/>
          <w:bCs/>
          <w:sz w:val="20"/>
          <w:szCs w:val="20"/>
        </w:rPr>
        <w:t xml:space="preserve"> </w:t>
      </w:r>
      <w:r w:rsidR="001401C5">
        <w:rPr>
          <w:rFonts w:ascii="Verdana" w:hAnsi="Verdana"/>
          <w:bCs/>
          <w:sz w:val="20"/>
          <w:szCs w:val="20"/>
        </w:rPr>
        <w:t>mecze w europejskim pucharze</w:t>
      </w:r>
      <w:r w:rsidR="00ED4A1F">
        <w:rPr>
          <w:rFonts w:ascii="Verdana" w:hAnsi="Verdana"/>
          <w:bCs/>
          <w:sz w:val="20"/>
          <w:szCs w:val="20"/>
        </w:rPr>
        <w:t xml:space="preserve">, a także zamieszki, do jakich doszło przy okazji starcia z Aston Villą. </w:t>
      </w:r>
    </w:p>
    <w:p w:rsidR="00147F8D" w:rsidRDefault="00A11BBB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Na drugie miejsce powrócił Lech Poznań, </w:t>
      </w:r>
      <w:r w:rsidR="000B6A34">
        <w:rPr>
          <w:rFonts w:ascii="Verdana" w:hAnsi="Verdana"/>
          <w:bCs/>
          <w:sz w:val="20"/>
          <w:szCs w:val="20"/>
        </w:rPr>
        <w:t>którego mieszane wyniki</w:t>
      </w:r>
      <w:r w:rsidR="0051769C">
        <w:rPr>
          <w:rFonts w:ascii="Verdana" w:hAnsi="Verdana"/>
          <w:bCs/>
          <w:sz w:val="20"/>
          <w:szCs w:val="20"/>
        </w:rPr>
        <w:t xml:space="preserve"> pobudziły medialne dyskusje o przyszłości trenera Johna van den </w:t>
      </w:r>
      <w:proofErr w:type="spellStart"/>
      <w:r w:rsidR="0051769C">
        <w:rPr>
          <w:rFonts w:ascii="Verdana" w:hAnsi="Verdana"/>
          <w:bCs/>
          <w:sz w:val="20"/>
          <w:szCs w:val="20"/>
        </w:rPr>
        <w:t>Broma</w:t>
      </w:r>
      <w:proofErr w:type="spellEnd"/>
      <w:r w:rsidR="0051769C">
        <w:rPr>
          <w:rFonts w:ascii="Verdana" w:hAnsi="Verdana"/>
          <w:bCs/>
          <w:sz w:val="20"/>
          <w:szCs w:val="20"/>
        </w:rPr>
        <w:t xml:space="preserve">. </w:t>
      </w:r>
      <w:r w:rsidR="005E1A89">
        <w:rPr>
          <w:rFonts w:ascii="Verdana" w:hAnsi="Verdana"/>
          <w:bCs/>
          <w:sz w:val="20"/>
          <w:szCs w:val="20"/>
        </w:rPr>
        <w:t xml:space="preserve">Najważniejszym wydarzeniem medialnym miesiąca było jednak spotkanie z Legią. </w:t>
      </w:r>
      <w:r w:rsidR="0091604E">
        <w:rPr>
          <w:rFonts w:ascii="Verdana" w:hAnsi="Verdana"/>
          <w:bCs/>
          <w:sz w:val="20"/>
          <w:szCs w:val="20"/>
        </w:rPr>
        <w:t>„</w:t>
      </w:r>
      <w:proofErr w:type="spellStart"/>
      <w:r w:rsidR="0091604E">
        <w:rPr>
          <w:rFonts w:ascii="Verdana" w:hAnsi="Verdana"/>
          <w:bCs/>
          <w:sz w:val="20"/>
          <w:szCs w:val="20"/>
        </w:rPr>
        <w:t>Kolejorz</w:t>
      </w:r>
      <w:proofErr w:type="spellEnd"/>
      <w:r w:rsidR="0091604E">
        <w:rPr>
          <w:rFonts w:ascii="Verdana" w:hAnsi="Verdana"/>
          <w:bCs/>
          <w:sz w:val="20"/>
          <w:szCs w:val="20"/>
        </w:rPr>
        <w:t>” pojawiał się też najczęściej na pierwszych stronach gazet – ex aequo z Radomiakiem.</w:t>
      </w:r>
    </w:p>
    <w:p w:rsidR="0091604E" w:rsidRDefault="0091604E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Na najniższym stopniu podium </w:t>
      </w:r>
      <w:r w:rsidR="00295EBE">
        <w:rPr>
          <w:rFonts w:ascii="Verdana" w:hAnsi="Verdana"/>
          <w:bCs/>
          <w:sz w:val="20"/>
          <w:szCs w:val="20"/>
        </w:rPr>
        <w:t>znalazł się Śląsk Wrocław, któr</w:t>
      </w:r>
      <w:r w:rsidR="00DF21AA">
        <w:rPr>
          <w:rFonts w:ascii="Verdana" w:hAnsi="Verdana"/>
          <w:bCs/>
          <w:sz w:val="20"/>
          <w:szCs w:val="20"/>
        </w:rPr>
        <w:t xml:space="preserve">y z kolei był najczęściej obecny w prasie. </w:t>
      </w:r>
      <w:r w:rsidR="00BC6A77">
        <w:rPr>
          <w:rFonts w:ascii="Verdana" w:hAnsi="Verdana"/>
          <w:bCs/>
          <w:sz w:val="20"/>
          <w:szCs w:val="20"/>
        </w:rPr>
        <w:t xml:space="preserve">W listopadzie „Wojskowi” wygrali wszystkie trzy ligowe spotkania, umacniając się na prowadzeniu w tabeli. </w:t>
      </w:r>
      <w:r w:rsidR="009D398E">
        <w:rPr>
          <w:rFonts w:ascii="Verdana" w:hAnsi="Verdana"/>
          <w:bCs/>
          <w:sz w:val="20"/>
          <w:szCs w:val="20"/>
        </w:rPr>
        <w:t>Czo</w:t>
      </w:r>
      <w:r w:rsidR="00FB7502">
        <w:rPr>
          <w:rFonts w:ascii="Verdana" w:hAnsi="Verdana"/>
          <w:bCs/>
          <w:sz w:val="20"/>
          <w:szCs w:val="20"/>
        </w:rPr>
        <w:t>łową piątkę uzupełniły Jagiellonia Białystok oraz Raków Częstochowa. Pozycja tej pierwszej drużyny jest sporym zaskoczeniem, biorąc pod uwagę, że zazwyczaj znajduje się ona znacznie niżej.</w:t>
      </w:r>
      <w:r w:rsidR="00403C26">
        <w:rPr>
          <w:rFonts w:ascii="Verdana" w:hAnsi="Verdana"/>
          <w:bCs/>
          <w:sz w:val="20"/>
          <w:szCs w:val="20"/>
        </w:rPr>
        <w:t xml:space="preserve"> Wszystko przez znakomite wyniki sportowe pod wodzą Adriana Siemieńca, dzięki którym Jagiellonia znajduje się w ścisłej czołówce ligowej tabeli. </w:t>
      </w:r>
    </w:p>
    <w:p w:rsidR="00A11BBB" w:rsidRDefault="001360F7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486400" cy="2887756"/>
            <wp:effectExtent l="0" t="0" r="0" b="8255"/>
            <wp:docPr id="401030577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6B4790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6B4790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6B4790">
        <w:rPr>
          <w:rFonts w:ascii="Verdana" w:hAnsi="Verdana" w:cs="Tahoma"/>
          <w:b/>
          <w:sz w:val="16"/>
          <w:szCs w:val="16"/>
        </w:rPr>
        <w:t>n</w:t>
      </w:r>
      <w:r w:rsidR="008525CD" w:rsidRPr="006B4790">
        <w:rPr>
          <w:rFonts w:ascii="Verdana" w:hAnsi="Verdana" w:cs="Tahoma"/>
          <w:b/>
          <w:sz w:val="16"/>
          <w:szCs w:val="16"/>
        </w:rPr>
        <w:t xml:space="preserve">ych drużyn </w:t>
      </w:r>
      <w:r w:rsidR="002940B2" w:rsidRPr="006B4790">
        <w:rPr>
          <w:rFonts w:ascii="Verdana" w:hAnsi="Verdana" w:cs="Tahoma"/>
          <w:b/>
          <w:sz w:val="16"/>
          <w:szCs w:val="16"/>
        </w:rPr>
        <w:t>PKO BP</w:t>
      </w:r>
      <w:r w:rsidR="008525CD" w:rsidRPr="006B4790">
        <w:rPr>
          <w:rFonts w:ascii="Verdana" w:hAnsi="Verdana" w:cs="Tahoma"/>
          <w:b/>
          <w:sz w:val="16"/>
          <w:szCs w:val="16"/>
        </w:rPr>
        <w:t xml:space="preserve"> Ekstraklasy </w:t>
      </w:r>
      <w:r w:rsidR="00456C5A" w:rsidRPr="006B4790">
        <w:rPr>
          <w:rFonts w:ascii="Verdana" w:hAnsi="Verdana" w:cs="Tahoma"/>
          <w:b/>
          <w:sz w:val="16"/>
          <w:szCs w:val="16"/>
        </w:rPr>
        <w:t>w</w:t>
      </w:r>
      <w:r w:rsidR="00972332" w:rsidRPr="006B4790">
        <w:rPr>
          <w:rFonts w:ascii="Verdana" w:hAnsi="Verdana" w:cs="Tahoma"/>
          <w:b/>
          <w:sz w:val="16"/>
          <w:szCs w:val="16"/>
        </w:rPr>
        <w:t xml:space="preserve"> </w:t>
      </w:r>
      <w:r w:rsidR="003A4BA9" w:rsidRPr="006B4790">
        <w:rPr>
          <w:rFonts w:ascii="Verdana" w:hAnsi="Verdana" w:cs="Tahoma"/>
          <w:b/>
          <w:sz w:val="16"/>
          <w:szCs w:val="16"/>
        </w:rPr>
        <w:t>listopadzie</w:t>
      </w:r>
      <w:r w:rsidR="00972332" w:rsidRPr="006B4790">
        <w:rPr>
          <w:rFonts w:ascii="Verdana" w:hAnsi="Verdana" w:cs="Tahoma"/>
          <w:b/>
          <w:sz w:val="16"/>
          <w:szCs w:val="16"/>
        </w:rPr>
        <w:t xml:space="preserve"> </w:t>
      </w:r>
      <w:r w:rsidR="005F213B" w:rsidRPr="006B4790">
        <w:rPr>
          <w:rFonts w:ascii="Verdana" w:hAnsi="Verdana" w:cs="Tahoma"/>
          <w:b/>
          <w:sz w:val="16"/>
          <w:szCs w:val="16"/>
        </w:rPr>
        <w:t xml:space="preserve">2023 </w:t>
      </w:r>
      <w:r w:rsidRPr="006B4790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881241" w:rsidRDefault="002C7989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</w:t>
      </w:r>
      <w:r w:rsidR="00733346">
        <w:rPr>
          <w:rFonts w:ascii="Verdana" w:hAnsi="Verdana"/>
          <w:sz w:val="20"/>
          <w:szCs w:val="20"/>
        </w:rPr>
        <w:t xml:space="preserve"> </w:t>
      </w:r>
      <w:r w:rsidR="00782F72">
        <w:rPr>
          <w:rFonts w:ascii="Verdana" w:hAnsi="Verdana"/>
          <w:sz w:val="20"/>
          <w:szCs w:val="20"/>
        </w:rPr>
        <w:t>Fortuna I Li</w:t>
      </w:r>
      <w:r w:rsidR="00733346">
        <w:rPr>
          <w:rFonts w:ascii="Verdana" w:hAnsi="Verdana"/>
          <w:sz w:val="20"/>
          <w:szCs w:val="20"/>
        </w:rPr>
        <w:t xml:space="preserve">dze </w:t>
      </w:r>
      <w:r>
        <w:rPr>
          <w:rFonts w:ascii="Verdana" w:hAnsi="Verdana"/>
          <w:sz w:val="20"/>
          <w:szCs w:val="20"/>
        </w:rPr>
        <w:t>zdecydowanie najbardziej medialna pozostaje Wisła Kraków</w:t>
      </w:r>
      <w:r w:rsidR="00561CC1">
        <w:rPr>
          <w:rFonts w:ascii="Verdana" w:hAnsi="Verdana"/>
          <w:sz w:val="20"/>
          <w:szCs w:val="20"/>
        </w:rPr>
        <w:t xml:space="preserve">, </w:t>
      </w:r>
      <w:r w:rsidR="00EA5E92">
        <w:rPr>
          <w:rFonts w:ascii="Verdana" w:hAnsi="Verdana"/>
          <w:sz w:val="20"/>
          <w:szCs w:val="20"/>
        </w:rPr>
        <w:t xml:space="preserve">z której plecami doszło jednak do niespodzianek. </w:t>
      </w:r>
      <w:r w:rsidR="00E440EB">
        <w:rPr>
          <w:rFonts w:ascii="Verdana" w:hAnsi="Verdana"/>
          <w:sz w:val="20"/>
          <w:szCs w:val="20"/>
        </w:rPr>
        <w:t xml:space="preserve">Na drugim miejscu znalazła się bowiem </w:t>
      </w:r>
      <w:proofErr w:type="spellStart"/>
      <w:r w:rsidR="00E440EB">
        <w:rPr>
          <w:rFonts w:ascii="Verdana" w:hAnsi="Verdana"/>
          <w:sz w:val="20"/>
          <w:szCs w:val="20"/>
        </w:rPr>
        <w:t>Resovia</w:t>
      </w:r>
      <w:proofErr w:type="spellEnd"/>
      <w:r w:rsidR="00E440EB">
        <w:rPr>
          <w:rFonts w:ascii="Verdana" w:hAnsi="Verdana"/>
          <w:sz w:val="20"/>
          <w:szCs w:val="20"/>
        </w:rPr>
        <w:t xml:space="preserve">, która zwykle bywała w czołówce, ale raczej nie na podium. </w:t>
      </w:r>
      <w:r w:rsidR="003F4A88">
        <w:rPr>
          <w:rFonts w:ascii="Verdana" w:hAnsi="Verdana"/>
          <w:sz w:val="20"/>
          <w:szCs w:val="20"/>
        </w:rPr>
        <w:t xml:space="preserve">Trzecie miejsce zajęła Lechia Gdańsk, a na czwartym </w:t>
      </w:r>
      <w:r w:rsidR="005B578E">
        <w:rPr>
          <w:rFonts w:ascii="Verdana" w:hAnsi="Verdana"/>
          <w:sz w:val="20"/>
          <w:szCs w:val="20"/>
        </w:rPr>
        <w:t xml:space="preserve">Arka Gdynia, która w listopadzie odniosła komplet ligowych zwycięstw – m.in. w bardzo medialnym meczu właśnie z Lechią. </w:t>
      </w:r>
      <w:r w:rsidR="00084164">
        <w:rPr>
          <w:rFonts w:ascii="Verdana" w:hAnsi="Verdana"/>
          <w:sz w:val="20"/>
          <w:szCs w:val="20"/>
        </w:rPr>
        <w:t xml:space="preserve">Czołową piątkę uzupełniła Polonia Warszawa, a będąca zwykle w czołówce Wisła Płock tym razem znalazła się dopiero na dziesiątym miejscu.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FA3E4B">
        <w:rPr>
          <w:noProof/>
          <w:lang w:eastAsia="pl-PL"/>
        </w:rPr>
        <w:drawing>
          <wp:inline distT="0" distB="0" distL="0" distR="0">
            <wp:extent cx="5486400" cy="2887906"/>
            <wp:effectExtent l="0" t="0" r="0" b="8255"/>
            <wp:docPr id="87495070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6B4790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6B4790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6B4790">
        <w:rPr>
          <w:rFonts w:ascii="Verdana" w:hAnsi="Verdana" w:cs="Tahoma"/>
          <w:b/>
          <w:sz w:val="16"/>
          <w:szCs w:val="16"/>
        </w:rPr>
        <w:t>2</w:t>
      </w:r>
      <w:r w:rsidRPr="006B4790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6B4790">
        <w:rPr>
          <w:rFonts w:ascii="Verdana" w:hAnsi="Verdana" w:cs="Tahoma"/>
          <w:b/>
          <w:sz w:val="16"/>
          <w:szCs w:val="16"/>
        </w:rPr>
        <w:t>Fortun</w:t>
      </w:r>
      <w:r w:rsidR="00B62B38" w:rsidRPr="006B4790">
        <w:rPr>
          <w:rFonts w:ascii="Verdana" w:hAnsi="Verdana" w:cs="Tahoma"/>
          <w:b/>
          <w:sz w:val="16"/>
          <w:szCs w:val="16"/>
        </w:rPr>
        <w:t>a I</w:t>
      </w:r>
      <w:r w:rsidRPr="006B4790">
        <w:rPr>
          <w:rFonts w:ascii="Verdana" w:hAnsi="Verdana" w:cs="Tahoma"/>
          <w:b/>
          <w:sz w:val="16"/>
          <w:szCs w:val="16"/>
        </w:rPr>
        <w:t xml:space="preserve"> ligi w</w:t>
      </w:r>
      <w:r w:rsidR="005F06A4" w:rsidRPr="006B4790">
        <w:rPr>
          <w:rFonts w:ascii="Verdana" w:hAnsi="Verdana" w:cs="Tahoma"/>
          <w:b/>
          <w:sz w:val="16"/>
          <w:szCs w:val="16"/>
        </w:rPr>
        <w:t xml:space="preserve"> </w:t>
      </w:r>
      <w:r w:rsidR="00FA3E4B" w:rsidRPr="006B4790">
        <w:rPr>
          <w:rFonts w:ascii="Verdana" w:hAnsi="Verdana" w:cs="Tahoma"/>
          <w:b/>
          <w:sz w:val="16"/>
          <w:szCs w:val="16"/>
        </w:rPr>
        <w:t>listopadzie</w:t>
      </w:r>
      <w:r w:rsidR="005F06A4" w:rsidRPr="006B4790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6B4790">
        <w:rPr>
          <w:rFonts w:ascii="Verdana" w:hAnsi="Verdana" w:cs="Tahoma"/>
          <w:b/>
          <w:sz w:val="16"/>
          <w:szCs w:val="16"/>
        </w:rPr>
        <w:t>202</w:t>
      </w:r>
      <w:r w:rsidR="005F213B" w:rsidRPr="006B4790">
        <w:rPr>
          <w:rFonts w:ascii="Verdana" w:hAnsi="Verdana" w:cs="Tahoma"/>
          <w:b/>
          <w:sz w:val="16"/>
          <w:szCs w:val="16"/>
        </w:rPr>
        <w:t>3</w:t>
      </w:r>
      <w:r w:rsidR="00341340" w:rsidRPr="006B4790">
        <w:rPr>
          <w:rFonts w:ascii="Verdana" w:hAnsi="Verdana" w:cs="Tahoma"/>
          <w:b/>
          <w:sz w:val="16"/>
          <w:szCs w:val="16"/>
        </w:rPr>
        <w:t xml:space="preserve"> </w:t>
      </w:r>
      <w:r w:rsidRPr="006B4790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075C9C" w:rsidRDefault="00744287" w:rsidP="00E15E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listopadzie n</w:t>
      </w:r>
      <w:r w:rsidR="00DE2F23">
        <w:rPr>
          <w:rFonts w:ascii="Verdana" w:hAnsi="Verdana"/>
          <w:sz w:val="20"/>
          <w:szCs w:val="20"/>
        </w:rPr>
        <w:t>ajbardziej medialnym polskim piłkarzem klubów jednej z</w:t>
      </w:r>
      <w:r w:rsidR="00DE2F23" w:rsidRPr="00D653AB">
        <w:rPr>
          <w:rFonts w:ascii="Verdana" w:hAnsi="Verdana"/>
          <w:sz w:val="20"/>
          <w:szCs w:val="20"/>
        </w:rPr>
        <w:t xml:space="preserve"> pięciu najs</w:t>
      </w:r>
      <w:r w:rsidR="00DE2F23">
        <w:rPr>
          <w:rFonts w:ascii="Verdana" w:hAnsi="Verdana"/>
          <w:sz w:val="20"/>
          <w:szCs w:val="20"/>
        </w:rPr>
        <w:t xml:space="preserve">ilniejszych europejskich lig był oczywiście Robert Lewandowski, ale </w:t>
      </w:r>
      <w:r w:rsidR="00075C9C">
        <w:rPr>
          <w:rFonts w:ascii="Verdana" w:hAnsi="Verdana"/>
          <w:sz w:val="20"/>
          <w:szCs w:val="20"/>
        </w:rPr>
        <w:t>za jego plecami</w:t>
      </w:r>
      <w:r w:rsidR="00A22E1D">
        <w:rPr>
          <w:rFonts w:ascii="Verdana" w:hAnsi="Verdana"/>
          <w:sz w:val="20"/>
          <w:szCs w:val="20"/>
        </w:rPr>
        <w:t xml:space="preserve"> doszło do ciekawych rozstrzygnięć. Media zauważyły znakomitą formę Marcina Bułki, który był trzecim najbardziej medialnym piłkarzem, przegrywając jeszcze tylko z Piotrem Zielińskim. </w:t>
      </w:r>
      <w:r w:rsidR="001A739B">
        <w:rPr>
          <w:rFonts w:ascii="Verdana" w:hAnsi="Verdana"/>
          <w:sz w:val="20"/>
          <w:szCs w:val="20"/>
        </w:rPr>
        <w:t xml:space="preserve">W czołowej piątce znaleźli się Wojciech Szczęsny i Jakub Kiwior, a </w:t>
      </w:r>
      <w:r w:rsidR="00305289">
        <w:rPr>
          <w:rFonts w:ascii="Verdana" w:hAnsi="Verdana"/>
          <w:sz w:val="20"/>
          <w:szCs w:val="20"/>
        </w:rPr>
        <w:t xml:space="preserve">dopiero na </w:t>
      </w:r>
      <w:r w:rsidR="00CB371D">
        <w:rPr>
          <w:rFonts w:ascii="Verdana" w:hAnsi="Verdana"/>
          <w:sz w:val="20"/>
          <w:szCs w:val="20"/>
        </w:rPr>
        <w:t xml:space="preserve">ósmym miejscu zameldował się Arkadiusz Milik. Słabszy wynik napastnika </w:t>
      </w:r>
      <w:proofErr w:type="spellStart"/>
      <w:r w:rsidR="00CB371D">
        <w:rPr>
          <w:rFonts w:ascii="Verdana" w:hAnsi="Verdana"/>
          <w:sz w:val="20"/>
          <w:szCs w:val="20"/>
        </w:rPr>
        <w:t>Juventusu</w:t>
      </w:r>
      <w:proofErr w:type="spellEnd"/>
      <w:r w:rsidR="00CB371D">
        <w:rPr>
          <w:rFonts w:ascii="Verdana" w:hAnsi="Verdana"/>
          <w:sz w:val="20"/>
          <w:szCs w:val="20"/>
        </w:rPr>
        <w:t xml:space="preserve"> jest oczywiście spowodowany brakiem występów w listopadowych meczach reprezentacji Polski. </w:t>
      </w:r>
    </w:p>
    <w:p w:rsidR="0072165A" w:rsidRDefault="00075C9C" w:rsidP="00E15E8D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86400" cy="2887906"/>
            <wp:effectExtent l="0" t="0" r="0" b="8255"/>
            <wp:docPr id="1554168669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6B4790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6B4790">
        <w:rPr>
          <w:rFonts w:ascii="Verdana" w:hAnsi="Verdana" w:cs="Tahoma"/>
          <w:b/>
          <w:sz w:val="16"/>
          <w:szCs w:val="16"/>
        </w:rPr>
        <w:t>3</w:t>
      </w:r>
      <w:r w:rsidRPr="006B4790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6B4790">
        <w:rPr>
          <w:rFonts w:ascii="Verdana" w:hAnsi="Verdana" w:cs="Tahoma"/>
          <w:b/>
          <w:sz w:val="16"/>
          <w:szCs w:val="16"/>
        </w:rPr>
        <w:t>n</w:t>
      </w:r>
      <w:r w:rsidR="00BF7364" w:rsidRPr="006B4790">
        <w:rPr>
          <w:rFonts w:ascii="Verdana" w:hAnsi="Verdana" w:cs="Tahoma"/>
          <w:b/>
          <w:sz w:val="16"/>
          <w:szCs w:val="16"/>
        </w:rPr>
        <w:t>iejszych ligach europejskich w</w:t>
      </w:r>
      <w:r w:rsidR="0072165A" w:rsidRPr="006B4790">
        <w:rPr>
          <w:rFonts w:ascii="Verdana" w:hAnsi="Verdana" w:cs="Tahoma"/>
          <w:b/>
          <w:sz w:val="16"/>
          <w:szCs w:val="16"/>
        </w:rPr>
        <w:t xml:space="preserve"> </w:t>
      </w:r>
      <w:r w:rsidR="00085837" w:rsidRPr="006B4790">
        <w:rPr>
          <w:rFonts w:ascii="Verdana" w:hAnsi="Verdana" w:cs="Tahoma"/>
          <w:b/>
          <w:sz w:val="16"/>
          <w:szCs w:val="16"/>
        </w:rPr>
        <w:t>listopadzie</w:t>
      </w:r>
      <w:r w:rsidR="0072165A" w:rsidRPr="006B4790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6B4790">
        <w:rPr>
          <w:rFonts w:ascii="Verdana" w:hAnsi="Verdana" w:cs="Tahoma"/>
          <w:b/>
          <w:sz w:val="16"/>
          <w:szCs w:val="16"/>
        </w:rPr>
        <w:t>202</w:t>
      </w:r>
      <w:r w:rsidR="005F213B" w:rsidRPr="006B4790">
        <w:rPr>
          <w:rFonts w:ascii="Verdana" w:hAnsi="Verdana" w:cs="Tahoma"/>
          <w:b/>
          <w:sz w:val="16"/>
          <w:szCs w:val="16"/>
        </w:rPr>
        <w:t>3</w:t>
      </w:r>
      <w:r w:rsidR="003E182D" w:rsidRPr="006B4790">
        <w:rPr>
          <w:rFonts w:ascii="Verdana" w:hAnsi="Verdana" w:cs="Tahoma"/>
          <w:b/>
          <w:sz w:val="16"/>
          <w:szCs w:val="16"/>
        </w:rPr>
        <w:t xml:space="preserve"> </w:t>
      </w:r>
      <w:r w:rsidRPr="006B4790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6B4790" w:rsidRDefault="006B4790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6B4790" w:rsidRPr="006B4790" w:rsidRDefault="006B4790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----------------------------------------------------------------------</w:t>
      </w:r>
    </w:p>
    <w:p w:rsidR="0001617E" w:rsidRPr="00247F88" w:rsidRDefault="0001617E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>
        <w:rPr>
          <w:rFonts w:ascii="Verdana" w:hAnsi="Verdana"/>
          <w:sz w:val="20"/>
          <w:szCs w:val="20"/>
        </w:rPr>
        <w:t xml:space="preserve">PSMM Monitoring &amp; </w:t>
      </w:r>
      <w:proofErr w:type="spellStart"/>
      <w:r>
        <w:rPr>
          <w:rFonts w:ascii="Verdana" w:hAnsi="Verdana"/>
          <w:sz w:val="20"/>
          <w:szCs w:val="20"/>
        </w:rPr>
        <w:t>More</w:t>
      </w:r>
      <w:proofErr w:type="spellEnd"/>
      <w:r>
        <w:rPr>
          <w:rFonts w:ascii="Verdana" w:hAnsi="Verdana"/>
          <w:sz w:val="20"/>
          <w:szCs w:val="20"/>
        </w:rPr>
        <w:t>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01617E" w:rsidRPr="00247F88" w:rsidRDefault="0001617E" w:rsidP="00016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01617E" w:rsidRPr="00EC3B6B" w:rsidRDefault="0001617E" w:rsidP="0001617E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247F88" w:rsidRPr="00247F88" w:rsidRDefault="0001617E" w:rsidP="006B4790">
      <w:pPr>
        <w:pStyle w:val="NormalnyWeb"/>
        <w:rPr>
          <w:rFonts w:ascii="Verdana" w:hAnsi="Verdana"/>
          <w:sz w:val="20"/>
          <w:szCs w:val="20"/>
        </w:rPr>
      </w:pPr>
      <w:r w:rsidRPr="00D640C6">
        <w:rPr>
          <w:rFonts w:ascii="Verdana" w:hAnsi="Verdana"/>
          <w:sz w:val="20"/>
          <w:szCs w:val="20"/>
          <w:lang w:val="en-GB"/>
        </w:rPr>
        <w:t>PSMM Monitoring &amp; More</w:t>
      </w:r>
      <w:r w:rsidRPr="00D640C6">
        <w:rPr>
          <w:rFonts w:ascii="Verdana" w:hAnsi="Verdana"/>
          <w:sz w:val="20"/>
          <w:szCs w:val="20"/>
          <w:lang w:val="en-GB"/>
        </w:rPr>
        <w:br/>
        <w:t xml:space="preserve">60-801 </w:t>
      </w:r>
      <w:proofErr w:type="spellStart"/>
      <w:r w:rsidRPr="00D640C6">
        <w:rPr>
          <w:rFonts w:ascii="Verdana" w:hAnsi="Verdana"/>
          <w:sz w:val="20"/>
          <w:szCs w:val="20"/>
          <w:lang w:val="en-GB"/>
        </w:rPr>
        <w:t>Poznań</w:t>
      </w:r>
      <w:proofErr w:type="spellEnd"/>
      <w:r w:rsidRPr="00D640C6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D640C6">
        <w:rPr>
          <w:rFonts w:ascii="Verdana" w:hAnsi="Verdana"/>
          <w:sz w:val="20"/>
          <w:szCs w:val="20"/>
          <w:lang w:val="en-GB"/>
        </w:rPr>
        <w:t>ul</w:t>
      </w:r>
      <w:proofErr w:type="spellEnd"/>
      <w:r w:rsidRPr="00D640C6">
        <w:rPr>
          <w:rFonts w:ascii="Verdana" w:hAnsi="Verdana"/>
          <w:sz w:val="20"/>
          <w:szCs w:val="20"/>
          <w:lang w:val="en-GB"/>
        </w:rPr>
        <w:t xml:space="preserve">. </w:t>
      </w:r>
      <w:r>
        <w:rPr>
          <w:rFonts w:ascii="Verdana" w:hAnsi="Verdana"/>
          <w:sz w:val="20"/>
          <w:szCs w:val="20"/>
        </w:rPr>
        <w:t>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 w:rsidSect="0020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D7" w:rsidRDefault="009913D7" w:rsidP="00D269C7">
      <w:pPr>
        <w:spacing w:after="0" w:line="240" w:lineRule="auto"/>
      </w:pPr>
      <w:r>
        <w:separator/>
      </w:r>
    </w:p>
  </w:endnote>
  <w:endnote w:type="continuationSeparator" w:id="0">
    <w:p w:rsidR="009913D7" w:rsidRDefault="009913D7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D7" w:rsidRDefault="009913D7" w:rsidP="00D269C7">
      <w:pPr>
        <w:spacing w:after="0" w:line="240" w:lineRule="auto"/>
      </w:pPr>
      <w:r>
        <w:separator/>
      </w:r>
    </w:p>
  </w:footnote>
  <w:footnote w:type="continuationSeparator" w:id="0">
    <w:p w:rsidR="009913D7" w:rsidRDefault="009913D7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769"/>
    <w:rsid w:val="00015F39"/>
    <w:rsid w:val="0001617E"/>
    <w:rsid w:val="00020614"/>
    <w:rsid w:val="00020DC0"/>
    <w:rsid w:val="00021D8D"/>
    <w:rsid w:val="00022A3D"/>
    <w:rsid w:val="00036FF5"/>
    <w:rsid w:val="00052E82"/>
    <w:rsid w:val="000534F9"/>
    <w:rsid w:val="0005468B"/>
    <w:rsid w:val="00063426"/>
    <w:rsid w:val="0006396B"/>
    <w:rsid w:val="00070410"/>
    <w:rsid w:val="00070C18"/>
    <w:rsid w:val="00074E58"/>
    <w:rsid w:val="00075062"/>
    <w:rsid w:val="00075C9C"/>
    <w:rsid w:val="00084164"/>
    <w:rsid w:val="00085837"/>
    <w:rsid w:val="000945AD"/>
    <w:rsid w:val="00094EF6"/>
    <w:rsid w:val="00094F85"/>
    <w:rsid w:val="000A0E22"/>
    <w:rsid w:val="000A1254"/>
    <w:rsid w:val="000A1BF2"/>
    <w:rsid w:val="000A1F30"/>
    <w:rsid w:val="000A4D19"/>
    <w:rsid w:val="000B24C0"/>
    <w:rsid w:val="000B6A34"/>
    <w:rsid w:val="000D3904"/>
    <w:rsid w:val="000E3B9E"/>
    <w:rsid w:val="001019F2"/>
    <w:rsid w:val="00104FED"/>
    <w:rsid w:val="001064EA"/>
    <w:rsid w:val="00110FCF"/>
    <w:rsid w:val="00114B6F"/>
    <w:rsid w:val="0012016E"/>
    <w:rsid w:val="00120E44"/>
    <w:rsid w:val="00124AB2"/>
    <w:rsid w:val="001262EE"/>
    <w:rsid w:val="001360F7"/>
    <w:rsid w:val="001401C5"/>
    <w:rsid w:val="00143482"/>
    <w:rsid w:val="00146EC0"/>
    <w:rsid w:val="001477D6"/>
    <w:rsid w:val="00147F8D"/>
    <w:rsid w:val="001540EE"/>
    <w:rsid w:val="00176C60"/>
    <w:rsid w:val="00184157"/>
    <w:rsid w:val="001902EE"/>
    <w:rsid w:val="001902F8"/>
    <w:rsid w:val="00190B7C"/>
    <w:rsid w:val="00194260"/>
    <w:rsid w:val="001A1C1B"/>
    <w:rsid w:val="001A435A"/>
    <w:rsid w:val="001A739B"/>
    <w:rsid w:val="001B6ADD"/>
    <w:rsid w:val="001C21A5"/>
    <w:rsid w:val="001C5133"/>
    <w:rsid w:val="001C55B1"/>
    <w:rsid w:val="001D0D93"/>
    <w:rsid w:val="001D41CC"/>
    <w:rsid w:val="001E1D30"/>
    <w:rsid w:val="001E5065"/>
    <w:rsid w:val="001E7371"/>
    <w:rsid w:val="001E7FB7"/>
    <w:rsid w:val="001F3ECA"/>
    <w:rsid w:val="001F5B8A"/>
    <w:rsid w:val="002006FD"/>
    <w:rsid w:val="0020466A"/>
    <w:rsid w:val="00204931"/>
    <w:rsid w:val="00205DD3"/>
    <w:rsid w:val="002100F7"/>
    <w:rsid w:val="002151CC"/>
    <w:rsid w:val="002201F8"/>
    <w:rsid w:val="00221CC6"/>
    <w:rsid w:val="00226848"/>
    <w:rsid w:val="00226F76"/>
    <w:rsid w:val="00234715"/>
    <w:rsid w:val="00240EC0"/>
    <w:rsid w:val="00241AB2"/>
    <w:rsid w:val="0024454A"/>
    <w:rsid w:val="002463B4"/>
    <w:rsid w:val="002475D7"/>
    <w:rsid w:val="00247F88"/>
    <w:rsid w:val="0025201B"/>
    <w:rsid w:val="002543C1"/>
    <w:rsid w:val="0025460A"/>
    <w:rsid w:val="00271B25"/>
    <w:rsid w:val="002828A0"/>
    <w:rsid w:val="00283A7F"/>
    <w:rsid w:val="00285537"/>
    <w:rsid w:val="00291294"/>
    <w:rsid w:val="002940B2"/>
    <w:rsid w:val="00295EBE"/>
    <w:rsid w:val="002A0C60"/>
    <w:rsid w:val="002A47F5"/>
    <w:rsid w:val="002A76AE"/>
    <w:rsid w:val="002B0E9C"/>
    <w:rsid w:val="002B120E"/>
    <w:rsid w:val="002B797D"/>
    <w:rsid w:val="002C37CF"/>
    <w:rsid w:val="002C7036"/>
    <w:rsid w:val="002C7989"/>
    <w:rsid w:val="002D3005"/>
    <w:rsid w:val="002D43F7"/>
    <w:rsid w:val="002E4F00"/>
    <w:rsid w:val="002E51BA"/>
    <w:rsid w:val="002F08B8"/>
    <w:rsid w:val="002F3E73"/>
    <w:rsid w:val="002F6F41"/>
    <w:rsid w:val="0030060A"/>
    <w:rsid w:val="00302623"/>
    <w:rsid w:val="00302883"/>
    <w:rsid w:val="003036B3"/>
    <w:rsid w:val="00305289"/>
    <w:rsid w:val="00310ECC"/>
    <w:rsid w:val="00321B79"/>
    <w:rsid w:val="00323667"/>
    <w:rsid w:val="00335976"/>
    <w:rsid w:val="00335D68"/>
    <w:rsid w:val="00341340"/>
    <w:rsid w:val="0036068F"/>
    <w:rsid w:val="00364DC5"/>
    <w:rsid w:val="003659D6"/>
    <w:rsid w:val="003670CC"/>
    <w:rsid w:val="003708DB"/>
    <w:rsid w:val="00373292"/>
    <w:rsid w:val="00377418"/>
    <w:rsid w:val="00384703"/>
    <w:rsid w:val="00390935"/>
    <w:rsid w:val="0039405D"/>
    <w:rsid w:val="00394E7F"/>
    <w:rsid w:val="00395093"/>
    <w:rsid w:val="00396D3D"/>
    <w:rsid w:val="003A4BA9"/>
    <w:rsid w:val="003B30FB"/>
    <w:rsid w:val="003B4F07"/>
    <w:rsid w:val="003B57B8"/>
    <w:rsid w:val="003C64D3"/>
    <w:rsid w:val="003D50BD"/>
    <w:rsid w:val="003E182D"/>
    <w:rsid w:val="003F12F2"/>
    <w:rsid w:val="003F30FD"/>
    <w:rsid w:val="003F4A88"/>
    <w:rsid w:val="00403344"/>
    <w:rsid w:val="00403C26"/>
    <w:rsid w:val="00412AA8"/>
    <w:rsid w:val="00415BF4"/>
    <w:rsid w:val="00424084"/>
    <w:rsid w:val="00425901"/>
    <w:rsid w:val="00426128"/>
    <w:rsid w:val="00427FC4"/>
    <w:rsid w:val="00434677"/>
    <w:rsid w:val="004419DB"/>
    <w:rsid w:val="00443039"/>
    <w:rsid w:val="0044665C"/>
    <w:rsid w:val="00452728"/>
    <w:rsid w:val="0045392D"/>
    <w:rsid w:val="00456C5A"/>
    <w:rsid w:val="00461437"/>
    <w:rsid w:val="0046393C"/>
    <w:rsid w:val="00463D91"/>
    <w:rsid w:val="00467EEA"/>
    <w:rsid w:val="00470CFE"/>
    <w:rsid w:val="00474DA0"/>
    <w:rsid w:val="00480937"/>
    <w:rsid w:val="004915B0"/>
    <w:rsid w:val="00492610"/>
    <w:rsid w:val="004A152F"/>
    <w:rsid w:val="004B6000"/>
    <w:rsid w:val="004B695B"/>
    <w:rsid w:val="004C4FBB"/>
    <w:rsid w:val="004D5854"/>
    <w:rsid w:val="004D66D3"/>
    <w:rsid w:val="004D775F"/>
    <w:rsid w:val="004E281D"/>
    <w:rsid w:val="004F73C5"/>
    <w:rsid w:val="005018DA"/>
    <w:rsid w:val="00503E2C"/>
    <w:rsid w:val="005044DE"/>
    <w:rsid w:val="0051112F"/>
    <w:rsid w:val="00511D69"/>
    <w:rsid w:val="00516B9F"/>
    <w:rsid w:val="0051769C"/>
    <w:rsid w:val="00517B59"/>
    <w:rsid w:val="00524AE3"/>
    <w:rsid w:val="00531AD8"/>
    <w:rsid w:val="00540646"/>
    <w:rsid w:val="005561A5"/>
    <w:rsid w:val="00561080"/>
    <w:rsid w:val="00561CC1"/>
    <w:rsid w:val="00562442"/>
    <w:rsid w:val="00563CB2"/>
    <w:rsid w:val="00565B2F"/>
    <w:rsid w:val="005717E8"/>
    <w:rsid w:val="00573E35"/>
    <w:rsid w:val="0057486C"/>
    <w:rsid w:val="005762BA"/>
    <w:rsid w:val="00577A8E"/>
    <w:rsid w:val="00580BAD"/>
    <w:rsid w:val="00591338"/>
    <w:rsid w:val="005A2972"/>
    <w:rsid w:val="005A4A80"/>
    <w:rsid w:val="005A59BD"/>
    <w:rsid w:val="005A7F53"/>
    <w:rsid w:val="005B191D"/>
    <w:rsid w:val="005B1D13"/>
    <w:rsid w:val="005B28CF"/>
    <w:rsid w:val="005B2EFA"/>
    <w:rsid w:val="005B578E"/>
    <w:rsid w:val="005C2FE4"/>
    <w:rsid w:val="005C3038"/>
    <w:rsid w:val="005D562F"/>
    <w:rsid w:val="005D5DD0"/>
    <w:rsid w:val="005E1A89"/>
    <w:rsid w:val="005E2541"/>
    <w:rsid w:val="005E498F"/>
    <w:rsid w:val="005E6826"/>
    <w:rsid w:val="005F06A4"/>
    <w:rsid w:val="005F213B"/>
    <w:rsid w:val="005F65E7"/>
    <w:rsid w:val="006040DD"/>
    <w:rsid w:val="00604700"/>
    <w:rsid w:val="00606806"/>
    <w:rsid w:val="00623729"/>
    <w:rsid w:val="00631176"/>
    <w:rsid w:val="006336E5"/>
    <w:rsid w:val="00640D13"/>
    <w:rsid w:val="006417AE"/>
    <w:rsid w:val="00641D87"/>
    <w:rsid w:val="00642F18"/>
    <w:rsid w:val="00644F02"/>
    <w:rsid w:val="00645829"/>
    <w:rsid w:val="006466F7"/>
    <w:rsid w:val="006761DE"/>
    <w:rsid w:val="00677B81"/>
    <w:rsid w:val="00697E08"/>
    <w:rsid w:val="006A0616"/>
    <w:rsid w:val="006A0D60"/>
    <w:rsid w:val="006A786E"/>
    <w:rsid w:val="006B4790"/>
    <w:rsid w:val="006C4D4A"/>
    <w:rsid w:val="006C556F"/>
    <w:rsid w:val="006C6E2A"/>
    <w:rsid w:val="006D092F"/>
    <w:rsid w:val="006D0EA5"/>
    <w:rsid w:val="006E257B"/>
    <w:rsid w:val="006F3397"/>
    <w:rsid w:val="006F3E39"/>
    <w:rsid w:val="00701144"/>
    <w:rsid w:val="00701FEB"/>
    <w:rsid w:val="0070535F"/>
    <w:rsid w:val="007068AC"/>
    <w:rsid w:val="00706A70"/>
    <w:rsid w:val="00710CEE"/>
    <w:rsid w:val="0071188D"/>
    <w:rsid w:val="00713905"/>
    <w:rsid w:val="00715D77"/>
    <w:rsid w:val="0072165A"/>
    <w:rsid w:val="00723DDB"/>
    <w:rsid w:val="00731862"/>
    <w:rsid w:val="00731A80"/>
    <w:rsid w:val="00733346"/>
    <w:rsid w:val="007363C3"/>
    <w:rsid w:val="007367B3"/>
    <w:rsid w:val="007400F8"/>
    <w:rsid w:val="007409DB"/>
    <w:rsid w:val="00743962"/>
    <w:rsid w:val="00744287"/>
    <w:rsid w:val="00747C23"/>
    <w:rsid w:val="00747F47"/>
    <w:rsid w:val="007500C4"/>
    <w:rsid w:val="007552BF"/>
    <w:rsid w:val="007624F2"/>
    <w:rsid w:val="007632C8"/>
    <w:rsid w:val="00767B51"/>
    <w:rsid w:val="00770054"/>
    <w:rsid w:val="00782F72"/>
    <w:rsid w:val="00784F5B"/>
    <w:rsid w:val="007909C3"/>
    <w:rsid w:val="0079567E"/>
    <w:rsid w:val="00795E39"/>
    <w:rsid w:val="007A0BBE"/>
    <w:rsid w:val="007A2650"/>
    <w:rsid w:val="007A4019"/>
    <w:rsid w:val="007B1E22"/>
    <w:rsid w:val="007B3B54"/>
    <w:rsid w:val="007B4104"/>
    <w:rsid w:val="007B6C23"/>
    <w:rsid w:val="007C53C9"/>
    <w:rsid w:val="007C6A02"/>
    <w:rsid w:val="007D4780"/>
    <w:rsid w:val="007D484E"/>
    <w:rsid w:val="007E2140"/>
    <w:rsid w:val="007E43B2"/>
    <w:rsid w:val="007E4D56"/>
    <w:rsid w:val="007E5EF8"/>
    <w:rsid w:val="007F0478"/>
    <w:rsid w:val="007F551A"/>
    <w:rsid w:val="007F5E26"/>
    <w:rsid w:val="00803095"/>
    <w:rsid w:val="00815BE9"/>
    <w:rsid w:val="00827D3A"/>
    <w:rsid w:val="008429B2"/>
    <w:rsid w:val="008462E8"/>
    <w:rsid w:val="008463FD"/>
    <w:rsid w:val="008525CD"/>
    <w:rsid w:val="00865CD3"/>
    <w:rsid w:val="00865EAA"/>
    <w:rsid w:val="00866C67"/>
    <w:rsid w:val="00872B92"/>
    <w:rsid w:val="00873604"/>
    <w:rsid w:val="00874475"/>
    <w:rsid w:val="00877570"/>
    <w:rsid w:val="00881241"/>
    <w:rsid w:val="008829F2"/>
    <w:rsid w:val="00883278"/>
    <w:rsid w:val="00884548"/>
    <w:rsid w:val="00896E10"/>
    <w:rsid w:val="008A0CC8"/>
    <w:rsid w:val="008B0D87"/>
    <w:rsid w:val="008B2829"/>
    <w:rsid w:val="008B3435"/>
    <w:rsid w:val="008B751E"/>
    <w:rsid w:val="008D1C6F"/>
    <w:rsid w:val="008D263D"/>
    <w:rsid w:val="008D3A45"/>
    <w:rsid w:val="008E266C"/>
    <w:rsid w:val="008E2E05"/>
    <w:rsid w:val="008E3CC4"/>
    <w:rsid w:val="008E4C7B"/>
    <w:rsid w:val="008E7695"/>
    <w:rsid w:val="008E7F34"/>
    <w:rsid w:val="008F3D29"/>
    <w:rsid w:val="009010C9"/>
    <w:rsid w:val="0090304B"/>
    <w:rsid w:val="0091604E"/>
    <w:rsid w:val="00916170"/>
    <w:rsid w:val="00917B97"/>
    <w:rsid w:val="00926F26"/>
    <w:rsid w:val="00930F11"/>
    <w:rsid w:val="0093284A"/>
    <w:rsid w:val="00934191"/>
    <w:rsid w:val="009344CD"/>
    <w:rsid w:val="00957093"/>
    <w:rsid w:val="00972332"/>
    <w:rsid w:val="009913D7"/>
    <w:rsid w:val="009A3B63"/>
    <w:rsid w:val="009B0747"/>
    <w:rsid w:val="009B2072"/>
    <w:rsid w:val="009B4EFD"/>
    <w:rsid w:val="009C204D"/>
    <w:rsid w:val="009C48C5"/>
    <w:rsid w:val="009C59A4"/>
    <w:rsid w:val="009D1001"/>
    <w:rsid w:val="009D398E"/>
    <w:rsid w:val="009D4A50"/>
    <w:rsid w:val="009E5C8A"/>
    <w:rsid w:val="009F1525"/>
    <w:rsid w:val="009F19B6"/>
    <w:rsid w:val="009F40D8"/>
    <w:rsid w:val="00A02ECC"/>
    <w:rsid w:val="00A06976"/>
    <w:rsid w:val="00A07483"/>
    <w:rsid w:val="00A11BBB"/>
    <w:rsid w:val="00A12A7E"/>
    <w:rsid w:val="00A145D6"/>
    <w:rsid w:val="00A158F1"/>
    <w:rsid w:val="00A15D18"/>
    <w:rsid w:val="00A17705"/>
    <w:rsid w:val="00A211F4"/>
    <w:rsid w:val="00A22E05"/>
    <w:rsid w:val="00A22E1D"/>
    <w:rsid w:val="00A2507F"/>
    <w:rsid w:val="00A25BF6"/>
    <w:rsid w:val="00A27F79"/>
    <w:rsid w:val="00A33B77"/>
    <w:rsid w:val="00A35248"/>
    <w:rsid w:val="00A448DC"/>
    <w:rsid w:val="00A46D62"/>
    <w:rsid w:val="00A561B9"/>
    <w:rsid w:val="00A60AC3"/>
    <w:rsid w:val="00A614BC"/>
    <w:rsid w:val="00A651AF"/>
    <w:rsid w:val="00A6628D"/>
    <w:rsid w:val="00A66988"/>
    <w:rsid w:val="00A72AD7"/>
    <w:rsid w:val="00A852AE"/>
    <w:rsid w:val="00A8776C"/>
    <w:rsid w:val="00A969B4"/>
    <w:rsid w:val="00AA434A"/>
    <w:rsid w:val="00AA515B"/>
    <w:rsid w:val="00AA68C0"/>
    <w:rsid w:val="00AA710A"/>
    <w:rsid w:val="00AB20CA"/>
    <w:rsid w:val="00AB5391"/>
    <w:rsid w:val="00AB694E"/>
    <w:rsid w:val="00AC7B0D"/>
    <w:rsid w:val="00AD0814"/>
    <w:rsid w:val="00AD2FBB"/>
    <w:rsid w:val="00AD30FB"/>
    <w:rsid w:val="00AF0372"/>
    <w:rsid w:val="00B00661"/>
    <w:rsid w:val="00B1774B"/>
    <w:rsid w:val="00B206D2"/>
    <w:rsid w:val="00B240E4"/>
    <w:rsid w:val="00B370A2"/>
    <w:rsid w:val="00B40C30"/>
    <w:rsid w:val="00B5104A"/>
    <w:rsid w:val="00B511EC"/>
    <w:rsid w:val="00B56578"/>
    <w:rsid w:val="00B6091A"/>
    <w:rsid w:val="00B62B38"/>
    <w:rsid w:val="00B65B73"/>
    <w:rsid w:val="00B76A07"/>
    <w:rsid w:val="00B81C53"/>
    <w:rsid w:val="00B843B0"/>
    <w:rsid w:val="00B90336"/>
    <w:rsid w:val="00B905B6"/>
    <w:rsid w:val="00B9253E"/>
    <w:rsid w:val="00BA0CE6"/>
    <w:rsid w:val="00BA5331"/>
    <w:rsid w:val="00BA5CAB"/>
    <w:rsid w:val="00BB0F90"/>
    <w:rsid w:val="00BB13AC"/>
    <w:rsid w:val="00BB2322"/>
    <w:rsid w:val="00BB3D42"/>
    <w:rsid w:val="00BC3ED8"/>
    <w:rsid w:val="00BC6747"/>
    <w:rsid w:val="00BC6A77"/>
    <w:rsid w:val="00BD3E78"/>
    <w:rsid w:val="00BD425A"/>
    <w:rsid w:val="00BD437D"/>
    <w:rsid w:val="00BD4E33"/>
    <w:rsid w:val="00BD53B1"/>
    <w:rsid w:val="00BE0161"/>
    <w:rsid w:val="00BE4085"/>
    <w:rsid w:val="00BE4F5E"/>
    <w:rsid w:val="00BE549B"/>
    <w:rsid w:val="00BE646F"/>
    <w:rsid w:val="00BF0237"/>
    <w:rsid w:val="00BF5AF4"/>
    <w:rsid w:val="00BF7364"/>
    <w:rsid w:val="00C03F53"/>
    <w:rsid w:val="00C06068"/>
    <w:rsid w:val="00C07ADF"/>
    <w:rsid w:val="00C161F7"/>
    <w:rsid w:val="00C21325"/>
    <w:rsid w:val="00C2202F"/>
    <w:rsid w:val="00C23ED8"/>
    <w:rsid w:val="00C27984"/>
    <w:rsid w:val="00C3154C"/>
    <w:rsid w:val="00C32D4D"/>
    <w:rsid w:val="00C369FB"/>
    <w:rsid w:val="00C40353"/>
    <w:rsid w:val="00C42C50"/>
    <w:rsid w:val="00C43598"/>
    <w:rsid w:val="00C4397B"/>
    <w:rsid w:val="00C43BF2"/>
    <w:rsid w:val="00C47E9E"/>
    <w:rsid w:val="00C51BF2"/>
    <w:rsid w:val="00C675B3"/>
    <w:rsid w:val="00C72355"/>
    <w:rsid w:val="00C75C75"/>
    <w:rsid w:val="00C7783F"/>
    <w:rsid w:val="00C80209"/>
    <w:rsid w:val="00C859D9"/>
    <w:rsid w:val="00C87AF6"/>
    <w:rsid w:val="00C9194D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371D"/>
    <w:rsid w:val="00CB4C9E"/>
    <w:rsid w:val="00CC2DF4"/>
    <w:rsid w:val="00CD0AFE"/>
    <w:rsid w:val="00CD123C"/>
    <w:rsid w:val="00CD1DF6"/>
    <w:rsid w:val="00CF2B61"/>
    <w:rsid w:val="00CF2C86"/>
    <w:rsid w:val="00D00A43"/>
    <w:rsid w:val="00D03F42"/>
    <w:rsid w:val="00D0544D"/>
    <w:rsid w:val="00D15850"/>
    <w:rsid w:val="00D26917"/>
    <w:rsid w:val="00D269C7"/>
    <w:rsid w:val="00D2737A"/>
    <w:rsid w:val="00D31B43"/>
    <w:rsid w:val="00D36001"/>
    <w:rsid w:val="00D36C88"/>
    <w:rsid w:val="00D37A5F"/>
    <w:rsid w:val="00D414E8"/>
    <w:rsid w:val="00D43271"/>
    <w:rsid w:val="00D5276C"/>
    <w:rsid w:val="00D55699"/>
    <w:rsid w:val="00D613FF"/>
    <w:rsid w:val="00D640C6"/>
    <w:rsid w:val="00D653AB"/>
    <w:rsid w:val="00D65F8B"/>
    <w:rsid w:val="00D80FAA"/>
    <w:rsid w:val="00D97D05"/>
    <w:rsid w:val="00DA1BFF"/>
    <w:rsid w:val="00DB2A2C"/>
    <w:rsid w:val="00DB3D57"/>
    <w:rsid w:val="00DB4B0A"/>
    <w:rsid w:val="00DB4D17"/>
    <w:rsid w:val="00DC5C3C"/>
    <w:rsid w:val="00DD1A3A"/>
    <w:rsid w:val="00DE1CF7"/>
    <w:rsid w:val="00DE2F23"/>
    <w:rsid w:val="00DF21AA"/>
    <w:rsid w:val="00DF336F"/>
    <w:rsid w:val="00DF4780"/>
    <w:rsid w:val="00E03A0F"/>
    <w:rsid w:val="00E15E8D"/>
    <w:rsid w:val="00E27428"/>
    <w:rsid w:val="00E348BA"/>
    <w:rsid w:val="00E43A27"/>
    <w:rsid w:val="00E440EB"/>
    <w:rsid w:val="00E56CAA"/>
    <w:rsid w:val="00E62C60"/>
    <w:rsid w:val="00E64DCB"/>
    <w:rsid w:val="00E77D25"/>
    <w:rsid w:val="00E91766"/>
    <w:rsid w:val="00E96010"/>
    <w:rsid w:val="00EA2C1E"/>
    <w:rsid w:val="00EA5E92"/>
    <w:rsid w:val="00EB20D5"/>
    <w:rsid w:val="00EC3B6B"/>
    <w:rsid w:val="00EC68CC"/>
    <w:rsid w:val="00ED0A59"/>
    <w:rsid w:val="00ED4A1F"/>
    <w:rsid w:val="00ED6234"/>
    <w:rsid w:val="00EE05F1"/>
    <w:rsid w:val="00EE1AFC"/>
    <w:rsid w:val="00EE1CBC"/>
    <w:rsid w:val="00EF04C1"/>
    <w:rsid w:val="00EF2D07"/>
    <w:rsid w:val="00F14853"/>
    <w:rsid w:val="00F14E9C"/>
    <w:rsid w:val="00F16CDF"/>
    <w:rsid w:val="00F2085A"/>
    <w:rsid w:val="00F25600"/>
    <w:rsid w:val="00F317A9"/>
    <w:rsid w:val="00F32BED"/>
    <w:rsid w:val="00F35E53"/>
    <w:rsid w:val="00F37313"/>
    <w:rsid w:val="00F5528E"/>
    <w:rsid w:val="00F708E3"/>
    <w:rsid w:val="00F72AC8"/>
    <w:rsid w:val="00F75E62"/>
    <w:rsid w:val="00FA3E4B"/>
    <w:rsid w:val="00FA4301"/>
    <w:rsid w:val="00FB7502"/>
    <w:rsid w:val="00FC3528"/>
    <w:rsid w:val="00FC532A"/>
    <w:rsid w:val="00FD1351"/>
    <w:rsid w:val="00FD28ED"/>
    <w:rsid w:val="00FD7F2A"/>
    <w:rsid w:val="00FE4DB2"/>
    <w:rsid w:val="00FE5899"/>
    <w:rsid w:val="00FE5DC9"/>
    <w:rsid w:val="00F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E33"/>
  </w:style>
  <w:style w:type="paragraph" w:styleId="Stopka">
    <w:name w:val="footer"/>
    <w:basedOn w:val="Normalny"/>
    <w:link w:val="StopkaZnak"/>
    <w:uiPriority w:val="99"/>
    <w:unhideWhenUsed/>
    <w:rsid w:val="00BD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d.docs.live.net/3141abd592a0fc90/Pulpit/Polska%20pi&#322;ka%20-%2011.2023/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d.docs.live.net/3141abd592a0fc90/Pulpit/Polska%20pi&#322;ka%20-%2011.2023/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https://d.docs.live.net/3141abd592a0fc90/Pulpit/Polska%20pi&#322;ka%20-%2011.2023/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ŁKS Łódź</c:v>
                </c:pt>
                <c:pt idx="1">
                  <c:v>Górnik Zabrze</c:v>
                </c:pt>
                <c:pt idx="2">
                  <c:v>Widzew Łódź</c:v>
                </c:pt>
                <c:pt idx="3">
                  <c:v>Pogoń Szczecin</c:v>
                </c:pt>
                <c:pt idx="4">
                  <c:v>Cracovia</c:v>
                </c:pt>
                <c:pt idx="5">
                  <c:v>Raków Częstochowa</c:v>
                </c:pt>
                <c:pt idx="6">
                  <c:v>Jagiellonia Białystok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1763</c:v>
                </c:pt>
                <c:pt idx="1">
                  <c:v>1784</c:v>
                </c:pt>
                <c:pt idx="2">
                  <c:v>1927</c:v>
                </c:pt>
                <c:pt idx="3">
                  <c:v>2089</c:v>
                </c:pt>
                <c:pt idx="4">
                  <c:v>2187</c:v>
                </c:pt>
                <c:pt idx="5">
                  <c:v>2532</c:v>
                </c:pt>
                <c:pt idx="6">
                  <c:v>2854</c:v>
                </c:pt>
                <c:pt idx="7">
                  <c:v>3169</c:v>
                </c:pt>
                <c:pt idx="8">
                  <c:v>3210</c:v>
                </c:pt>
                <c:pt idx="9">
                  <c:v>4311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E2E-4DBE-90DA-BF84BD45ACB5}"/>
            </c:ext>
          </c:extLst>
        </c:ser>
        <c:overlap val="100"/>
        <c:axId val="220486656"/>
        <c:axId val="220496640"/>
      </c:barChart>
      <c:catAx>
        <c:axId val="22048665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20496640"/>
        <c:crosses val="autoZero"/>
        <c:auto val="1"/>
        <c:lblAlgn val="ctr"/>
        <c:lblOffset val="100"/>
      </c:catAx>
      <c:valAx>
        <c:axId val="220496640"/>
        <c:scaling>
          <c:orientation val="minMax"/>
          <c:max val="5000"/>
          <c:min val="0"/>
        </c:scaling>
        <c:axPos val="b"/>
        <c:numFmt formatCode="General" sourceLinked="1"/>
        <c:tickLblPos val="nextTo"/>
        <c:crossAx val="220486656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Wisła Płock</c:v>
                </c:pt>
                <c:pt idx="1">
                  <c:v>GKS Tychy</c:v>
                </c:pt>
                <c:pt idx="2">
                  <c:v>Podbeskidzie Bielsko-Biała</c:v>
                </c:pt>
                <c:pt idx="3">
                  <c:v>Stal Rzeszów</c:v>
                </c:pt>
                <c:pt idx="4">
                  <c:v>Zagłębie Sosnowiec</c:v>
                </c:pt>
                <c:pt idx="5">
                  <c:v>Polonia Warszawa</c:v>
                </c:pt>
                <c:pt idx="6">
                  <c:v>Arka Gdynia</c:v>
                </c:pt>
                <c:pt idx="7">
                  <c:v>Lechia Gdańsk</c:v>
                </c:pt>
                <c:pt idx="8">
                  <c:v>Resovia</c:v>
                </c:pt>
                <c:pt idx="9">
                  <c:v>Wisła Kraków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532</c:v>
                </c:pt>
                <c:pt idx="1">
                  <c:v>591</c:v>
                </c:pt>
                <c:pt idx="2">
                  <c:v>600</c:v>
                </c:pt>
                <c:pt idx="3">
                  <c:v>653</c:v>
                </c:pt>
                <c:pt idx="4">
                  <c:v>668</c:v>
                </c:pt>
                <c:pt idx="5">
                  <c:v>725</c:v>
                </c:pt>
                <c:pt idx="6">
                  <c:v>883</c:v>
                </c:pt>
                <c:pt idx="7">
                  <c:v>997</c:v>
                </c:pt>
                <c:pt idx="8">
                  <c:v>1292</c:v>
                </c:pt>
                <c:pt idx="9">
                  <c:v>1741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6A-443E-ABE7-F9DFD4A94EA3}"/>
            </c:ext>
          </c:extLst>
        </c:ser>
        <c:gapWidth val="105"/>
        <c:overlap val="100"/>
        <c:axId val="221141632"/>
        <c:axId val="258130304"/>
      </c:barChart>
      <c:catAx>
        <c:axId val="22114163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58130304"/>
        <c:crosses val="autoZero"/>
        <c:auto val="1"/>
        <c:lblAlgn val="ctr"/>
        <c:lblOffset val="100"/>
      </c:catAx>
      <c:valAx>
        <c:axId val="258130304"/>
        <c:scaling>
          <c:orientation val="minMax"/>
          <c:max val="2000"/>
          <c:min val="0"/>
        </c:scaling>
        <c:axPos val="b"/>
        <c:numFmt formatCode="General" sourceLinked="1"/>
        <c:tickLblPos val="nextTo"/>
        <c:crossAx val="221141632"/>
        <c:crosses val="autoZero"/>
        <c:crossBetween val="between"/>
        <c:majorUnit val="400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Mateusz Łęgowski</c:v>
                </c:pt>
                <c:pt idx="1">
                  <c:v>Adam Buksa</c:v>
                </c:pt>
                <c:pt idx="2">
                  <c:v>Arkadiusz Milik</c:v>
                </c:pt>
                <c:pt idx="3">
                  <c:v>Przemysław Frankowski</c:v>
                </c:pt>
                <c:pt idx="4">
                  <c:v>Nicola Zalewski</c:v>
                </c:pt>
                <c:pt idx="5">
                  <c:v>Jakub Kiwior</c:v>
                </c:pt>
                <c:pt idx="6">
                  <c:v>Wojciech Szczęsny</c:v>
                </c:pt>
                <c:pt idx="7">
                  <c:v>Marcin Bułka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484</c:v>
                </c:pt>
                <c:pt idx="1">
                  <c:v>551</c:v>
                </c:pt>
                <c:pt idx="2">
                  <c:v>667</c:v>
                </c:pt>
                <c:pt idx="3">
                  <c:v>761</c:v>
                </c:pt>
                <c:pt idx="4">
                  <c:v>811</c:v>
                </c:pt>
                <c:pt idx="5">
                  <c:v>884</c:v>
                </c:pt>
                <c:pt idx="6">
                  <c:v>922</c:v>
                </c:pt>
                <c:pt idx="7">
                  <c:v>928</c:v>
                </c:pt>
                <c:pt idx="8">
                  <c:v>1431</c:v>
                </c:pt>
                <c:pt idx="9">
                  <c:v>4709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62-4E9E-B629-2B53403F81DD}"/>
            </c:ext>
          </c:extLst>
        </c:ser>
        <c:overlap val="100"/>
        <c:axId val="328965120"/>
        <c:axId val="331113216"/>
      </c:barChart>
      <c:catAx>
        <c:axId val="32896512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331113216"/>
        <c:crosses val="autoZero"/>
        <c:auto val="1"/>
        <c:lblAlgn val="ctr"/>
        <c:lblOffset val="100"/>
      </c:catAx>
      <c:valAx>
        <c:axId val="331113216"/>
        <c:scaling>
          <c:orientation val="minMax"/>
          <c:max val="5000"/>
          <c:min val="0"/>
        </c:scaling>
        <c:axPos val="b"/>
        <c:numFmt formatCode="General" sourceLinked="1"/>
        <c:tickLblPos val="nextTo"/>
        <c:crossAx val="328965120"/>
        <c:crosses val="autoZero"/>
        <c:crossBetween val="between"/>
        <c:majorUnit val="1000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0.72124</cdr:x>
      <cdr:y>0.68793</cdr:y>
    </cdr:from>
    <cdr:to>
      <cdr:x>0.95222</cdr:x>
      <cdr:y>0.87149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CE5CB91E-47FF-6CDB-DD4B-06DF32E54BD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14466" y="2023816"/>
          <a:ext cx="1285653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0.71586</cdr:x>
      <cdr:y>0.68993</cdr:y>
    </cdr:from>
    <cdr:to>
      <cdr:x>0.94661</cdr:x>
      <cdr:y>0.87348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3988496" y="2029803"/>
          <a:ext cx="1285676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0.72023</cdr:x>
      <cdr:y>0.69683</cdr:y>
    </cdr:from>
    <cdr:to>
      <cdr:x>0.95122</cdr:x>
      <cdr:y>0.88038</cdr:y>
    </cdr:to>
    <cdr:pic>
      <cdr:nvPicPr>
        <cdr:cNvPr id="2" name="Obraz 1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6760A1C0-1828-9DBF-3204-C783790162A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08830" y="2050107"/>
          <a:ext cx="1285704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2023-12-13T11:33:00Z</dcterms:created>
  <dcterms:modified xsi:type="dcterms:W3CDTF">2023-12-13T11:33:00Z</dcterms:modified>
</cp:coreProperties>
</file>