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F7" w:rsidRPr="002100F7" w:rsidRDefault="002100F7" w:rsidP="00247F88">
      <w:pPr>
        <w:jc w:val="right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Poznań</w:t>
      </w:r>
      <w:r w:rsidR="00D152FE">
        <w:rPr>
          <w:rFonts w:ascii="Verdana" w:hAnsi="Verdana"/>
          <w:sz w:val="20"/>
          <w:szCs w:val="20"/>
        </w:rPr>
        <w:t>, 7</w:t>
      </w:r>
      <w:r w:rsidR="00052E82">
        <w:rPr>
          <w:rFonts w:ascii="Verdana" w:hAnsi="Verdana"/>
          <w:sz w:val="20"/>
          <w:szCs w:val="20"/>
        </w:rPr>
        <w:t xml:space="preserve"> lipca</w:t>
      </w:r>
      <w:r w:rsidR="004419DB">
        <w:rPr>
          <w:rFonts w:ascii="Verdana" w:hAnsi="Verdana"/>
          <w:sz w:val="20"/>
          <w:szCs w:val="20"/>
        </w:rPr>
        <w:t xml:space="preserve"> </w:t>
      </w:r>
      <w:r w:rsidR="00B6091A">
        <w:rPr>
          <w:rFonts w:ascii="Verdana" w:hAnsi="Verdana"/>
          <w:sz w:val="20"/>
          <w:szCs w:val="20"/>
        </w:rPr>
        <w:t>202</w:t>
      </w:r>
      <w:r w:rsidR="00BD425A">
        <w:rPr>
          <w:rFonts w:ascii="Verdana" w:hAnsi="Verdana"/>
          <w:sz w:val="20"/>
          <w:szCs w:val="20"/>
        </w:rPr>
        <w:t>3</w:t>
      </w:r>
      <w:r w:rsidR="00461437">
        <w:rPr>
          <w:rFonts w:ascii="Verdana" w:hAnsi="Verdana"/>
          <w:sz w:val="20"/>
          <w:szCs w:val="20"/>
        </w:rPr>
        <w:t xml:space="preserve"> roku</w:t>
      </w:r>
    </w:p>
    <w:p w:rsidR="002100F7" w:rsidRPr="002100F7" w:rsidRDefault="002100F7" w:rsidP="002100F7">
      <w:pPr>
        <w:jc w:val="center"/>
        <w:outlineLvl w:val="0"/>
        <w:rPr>
          <w:rFonts w:ascii="Verdana" w:hAnsi="Verdana"/>
          <w:sz w:val="20"/>
          <w:szCs w:val="20"/>
        </w:rPr>
      </w:pPr>
      <w:r w:rsidRPr="002100F7">
        <w:rPr>
          <w:rFonts w:ascii="Verdana" w:hAnsi="Verdana"/>
          <w:sz w:val="20"/>
          <w:szCs w:val="20"/>
        </w:rPr>
        <w:t>INFORMACJA PRASOWA</w:t>
      </w:r>
    </w:p>
    <w:p w:rsidR="00E93A5D" w:rsidRPr="00F2085A" w:rsidRDefault="00052E82" w:rsidP="002100F7">
      <w:pPr>
        <w:jc w:val="center"/>
        <w:rPr>
          <w:rFonts w:ascii="Verdana" w:hAnsi="Verdana"/>
          <w:sz w:val="24"/>
          <w:szCs w:val="24"/>
        </w:rPr>
      </w:pPr>
      <w:r w:rsidRPr="00F2085A">
        <w:rPr>
          <w:rFonts w:ascii="Verdana" w:hAnsi="Verdana"/>
          <w:sz w:val="24"/>
          <w:szCs w:val="24"/>
        </w:rPr>
        <w:t xml:space="preserve">Legia najlepsza medialnie, choć </w:t>
      </w:r>
      <w:r w:rsidR="00D152FE">
        <w:rPr>
          <w:rFonts w:ascii="Verdana" w:hAnsi="Verdana"/>
          <w:sz w:val="24"/>
          <w:szCs w:val="24"/>
        </w:rPr>
        <w:t>beniaminki zrobiły</w:t>
      </w:r>
      <w:r w:rsidRPr="00F2085A">
        <w:rPr>
          <w:rFonts w:ascii="Verdana" w:hAnsi="Verdana"/>
          <w:sz w:val="24"/>
          <w:szCs w:val="24"/>
        </w:rPr>
        <w:t xml:space="preserve"> zamieszanie w mediach</w:t>
      </w:r>
    </w:p>
    <w:p w:rsidR="007632C8" w:rsidRDefault="007632C8" w:rsidP="00D414E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Legia Warszawa była najbardziej medialnym klubem piłkarskim w Polsce w czerwcu 2023 roku - wynika z analizy PSMM Monitoring &amp; </w:t>
      </w:r>
      <w:proofErr w:type="spellStart"/>
      <w:r>
        <w:rPr>
          <w:rFonts w:ascii="Verdana" w:hAnsi="Verdana"/>
          <w:b/>
          <w:sz w:val="20"/>
          <w:szCs w:val="20"/>
        </w:rPr>
        <w:t>More</w:t>
      </w:r>
      <w:proofErr w:type="spellEnd"/>
      <w:r>
        <w:rPr>
          <w:rFonts w:ascii="Verdana" w:hAnsi="Verdana"/>
          <w:b/>
          <w:sz w:val="20"/>
          <w:szCs w:val="20"/>
        </w:rPr>
        <w:t xml:space="preserve">. </w:t>
      </w:r>
      <w:r w:rsidR="00CF2B61">
        <w:rPr>
          <w:rFonts w:ascii="Verdana" w:hAnsi="Verdana"/>
          <w:b/>
          <w:sz w:val="20"/>
          <w:szCs w:val="20"/>
        </w:rPr>
        <w:t>Świetne wyniki odnotowali beniaminkowie PKO BP Ekstraklasy, którzy uplasowali się na wysokich miejscach</w:t>
      </w:r>
      <w:r>
        <w:rPr>
          <w:rFonts w:ascii="Verdana" w:hAnsi="Verdana"/>
          <w:b/>
          <w:sz w:val="20"/>
          <w:szCs w:val="20"/>
        </w:rPr>
        <w:t>. W Fortuna I Lidze najlepsza była Wisła Kraków, a wśród polskich piłkarzy lig TOP 5 – Robert Lewandowski.</w:t>
      </w:r>
    </w:p>
    <w:p w:rsidR="007632C8" w:rsidRDefault="003C64D3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Legia </w:t>
      </w:r>
      <w:r w:rsidR="007632C8">
        <w:rPr>
          <w:rFonts w:ascii="Verdana" w:hAnsi="Verdana"/>
          <w:bCs/>
          <w:sz w:val="20"/>
          <w:szCs w:val="20"/>
        </w:rPr>
        <w:t xml:space="preserve">w przerwie między sezonami zazwyczaj wzbudza największe zainteresowanie i nie inaczej było tym razem. Za jej plecami znalazły się Lech Poznań i Śląsk Wrocław. Raków Częstochowa utrzymał czwarte miejsce w rankingu medialności, co należy uznać za dobry wynik po maju, w którym klub zdobył mistrzostwo Polski. </w:t>
      </w:r>
    </w:p>
    <w:p w:rsidR="007632C8" w:rsidRDefault="007632C8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Największe zaskoczenia </w:t>
      </w:r>
      <w:r w:rsidR="00F2085A">
        <w:rPr>
          <w:rFonts w:ascii="Verdana" w:hAnsi="Verdana"/>
          <w:bCs/>
          <w:sz w:val="20"/>
          <w:szCs w:val="20"/>
        </w:rPr>
        <w:t>sprawiły</w:t>
      </w:r>
      <w:r>
        <w:rPr>
          <w:rFonts w:ascii="Verdana" w:hAnsi="Verdana"/>
          <w:bCs/>
          <w:sz w:val="20"/>
          <w:szCs w:val="20"/>
        </w:rPr>
        <w:t xml:space="preserve"> jednak kluby, który zajęły piąte i szóste miejsce w czerwcowym </w:t>
      </w:r>
      <w:r w:rsidR="00D152FE">
        <w:rPr>
          <w:rFonts w:ascii="Verdana" w:hAnsi="Verdana"/>
          <w:bCs/>
          <w:sz w:val="20"/>
          <w:szCs w:val="20"/>
        </w:rPr>
        <w:t>zestawieniu. Tak wysoko znalazły</w:t>
      </w:r>
      <w:r>
        <w:rPr>
          <w:rFonts w:ascii="Verdana" w:hAnsi="Verdana"/>
          <w:bCs/>
          <w:sz w:val="20"/>
          <w:szCs w:val="20"/>
        </w:rPr>
        <w:t xml:space="preserve"> się bowiem</w:t>
      </w:r>
      <w:r w:rsidR="00D152FE">
        <w:rPr>
          <w:rFonts w:ascii="Verdana" w:hAnsi="Verdana"/>
          <w:bCs/>
          <w:sz w:val="20"/>
          <w:szCs w:val="20"/>
        </w:rPr>
        <w:t xml:space="preserve"> tegoroczne beniaminki</w:t>
      </w:r>
      <w:r w:rsidR="00CF2B61">
        <w:rPr>
          <w:rFonts w:ascii="Verdana" w:hAnsi="Verdana"/>
          <w:bCs/>
          <w:sz w:val="20"/>
          <w:szCs w:val="20"/>
        </w:rPr>
        <w:t xml:space="preserve"> – Ruch Chorzów i Puszcza Niepołomice. W tym kontekście warto zauważyć, że w poprzednim sezonie „Niebiescy” byli zdecydowanie bardziej medialni od Puszczy, ale sensacyjny awans zespołu z Niepołomic do najwyższej klasy rozgrywkowej w Polsce wygenerował prawdziwą burzę medialną na temat klubu. Co ciekawe, Puszcza była jedynym z osiemnastu klubów, który odnotował wzrost liczby publikacji względem maja 2023 roku. Trzeci z beniaminków – Łódzki Klub Sportowy – znalazł się na dziesiątym miejscu zestawienia. </w:t>
      </w:r>
    </w:p>
    <w:p w:rsidR="00CF2B61" w:rsidRDefault="00CF2B61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Nieco inaczej wygląda sytuacja, jeśli chodzi o publikacje wyłącznie w prasie. Tych w czerwcu najwięcej odnotował Śląsk, który wyprzedził Legię i Lecha. Na piątym miejscu znalazł się ŁKS (w przeciwieństwie do ogólnej liczby materiałów wyprzedzając </w:t>
      </w:r>
      <w:r w:rsidR="004915B0">
        <w:rPr>
          <w:rFonts w:ascii="Verdana" w:hAnsi="Verdana"/>
          <w:bCs/>
          <w:sz w:val="20"/>
          <w:szCs w:val="20"/>
        </w:rPr>
        <w:t xml:space="preserve">lokalnego rywala - </w:t>
      </w:r>
      <w:r>
        <w:rPr>
          <w:rFonts w:ascii="Verdana" w:hAnsi="Verdana"/>
          <w:bCs/>
          <w:sz w:val="20"/>
          <w:szCs w:val="20"/>
        </w:rPr>
        <w:t xml:space="preserve">Widzewa), a czołową szóstkę uzupełniły czwarta Pogoń Szczecin i szósty Ruch. </w:t>
      </w:r>
      <w:r w:rsidR="004915B0">
        <w:rPr>
          <w:rFonts w:ascii="Verdana" w:hAnsi="Verdana"/>
          <w:bCs/>
          <w:sz w:val="20"/>
          <w:szCs w:val="20"/>
        </w:rPr>
        <w:t xml:space="preserve">Na pierwszych stronach gazet najczęściej bywał z kolei Radomiak, który regularnie jest w czołówce tego zestawienia. </w:t>
      </w:r>
    </w:p>
    <w:p w:rsidR="004915B0" w:rsidRDefault="004915B0" w:rsidP="005F213B">
      <w:pPr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Internecie w czerwcu najlepsza była Legia przed Lechem i Rakowem. Jeśli chodzi o media społecznościowe, to zdecydowanie najwięcej wpisów dotyczyło Legii, za którą znalazł się Lech. Z dużą stratą dwa kolejne miejsca zajęły Cracovia oraz Widzew. </w:t>
      </w:r>
    </w:p>
    <w:p w:rsidR="007A0BBE" w:rsidRDefault="004915B0" w:rsidP="002100F7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66067" cy="2941883"/>
            <wp:effectExtent l="0" t="0" r="0" b="0"/>
            <wp:docPr id="1872823594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100F7" w:rsidRPr="00D152FE" w:rsidRDefault="002100F7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D152FE">
        <w:rPr>
          <w:rFonts w:ascii="Verdana" w:hAnsi="Verdana" w:cs="Tahoma"/>
          <w:b/>
          <w:sz w:val="16"/>
          <w:szCs w:val="16"/>
        </w:rPr>
        <w:t>Wykres 1. TOP 10 najbardziej medial</w:t>
      </w:r>
      <w:r w:rsidR="00ED0A59" w:rsidRPr="00D152FE">
        <w:rPr>
          <w:rFonts w:ascii="Verdana" w:hAnsi="Verdana" w:cs="Tahoma"/>
          <w:b/>
          <w:sz w:val="16"/>
          <w:szCs w:val="16"/>
        </w:rPr>
        <w:t>n</w:t>
      </w:r>
      <w:r w:rsidR="008525CD" w:rsidRPr="00D152FE">
        <w:rPr>
          <w:rFonts w:ascii="Verdana" w:hAnsi="Verdana" w:cs="Tahoma"/>
          <w:b/>
          <w:sz w:val="16"/>
          <w:szCs w:val="16"/>
        </w:rPr>
        <w:t xml:space="preserve">ych drużyn </w:t>
      </w:r>
      <w:r w:rsidR="002940B2" w:rsidRPr="00D152FE">
        <w:rPr>
          <w:rFonts w:ascii="Verdana" w:hAnsi="Verdana" w:cs="Tahoma"/>
          <w:b/>
          <w:sz w:val="16"/>
          <w:szCs w:val="16"/>
        </w:rPr>
        <w:t>PKO BP</w:t>
      </w:r>
      <w:r w:rsidR="008525CD" w:rsidRPr="00D152FE">
        <w:rPr>
          <w:rFonts w:ascii="Verdana" w:hAnsi="Verdana" w:cs="Tahoma"/>
          <w:b/>
          <w:sz w:val="16"/>
          <w:szCs w:val="16"/>
        </w:rPr>
        <w:t xml:space="preserve"> Ekstraklasy </w:t>
      </w:r>
      <w:r w:rsidR="00456C5A" w:rsidRPr="00D152FE">
        <w:rPr>
          <w:rFonts w:ascii="Verdana" w:hAnsi="Verdana" w:cs="Tahoma"/>
          <w:b/>
          <w:sz w:val="16"/>
          <w:szCs w:val="16"/>
        </w:rPr>
        <w:t xml:space="preserve">w </w:t>
      </w:r>
      <w:r w:rsidR="002940B2" w:rsidRPr="00D152FE">
        <w:rPr>
          <w:rFonts w:ascii="Verdana" w:hAnsi="Verdana" w:cs="Tahoma"/>
          <w:b/>
          <w:sz w:val="16"/>
          <w:szCs w:val="16"/>
        </w:rPr>
        <w:t>czerwcu</w:t>
      </w:r>
      <w:r w:rsidR="005F213B" w:rsidRPr="00D152FE">
        <w:rPr>
          <w:rFonts w:ascii="Verdana" w:hAnsi="Verdana" w:cs="Tahoma"/>
          <w:b/>
          <w:sz w:val="16"/>
          <w:szCs w:val="16"/>
        </w:rPr>
        <w:t xml:space="preserve"> 2023 </w:t>
      </w:r>
      <w:r w:rsidRPr="00D152F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2940B2" w:rsidRDefault="0079567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</w:t>
      </w:r>
      <w:r w:rsidR="008B751E">
        <w:rPr>
          <w:rFonts w:ascii="Verdana" w:hAnsi="Verdana"/>
          <w:sz w:val="20"/>
          <w:szCs w:val="20"/>
        </w:rPr>
        <w:t>Fortuna I li</w:t>
      </w:r>
      <w:r w:rsidR="00C75C75">
        <w:rPr>
          <w:rFonts w:ascii="Verdana" w:hAnsi="Verdana"/>
          <w:sz w:val="20"/>
          <w:szCs w:val="20"/>
        </w:rPr>
        <w:t>dze</w:t>
      </w:r>
      <w:r w:rsidR="002B0E9C">
        <w:rPr>
          <w:rFonts w:ascii="Verdana" w:hAnsi="Verdana"/>
          <w:sz w:val="20"/>
          <w:szCs w:val="20"/>
        </w:rPr>
        <w:t xml:space="preserve"> </w:t>
      </w:r>
      <w:r w:rsidR="001E1D30">
        <w:rPr>
          <w:rFonts w:ascii="Verdana" w:hAnsi="Verdana"/>
          <w:sz w:val="20"/>
          <w:szCs w:val="20"/>
        </w:rPr>
        <w:t xml:space="preserve">w </w:t>
      </w:r>
      <w:r w:rsidR="002940B2">
        <w:rPr>
          <w:rFonts w:ascii="Verdana" w:hAnsi="Verdana"/>
          <w:sz w:val="20"/>
          <w:szCs w:val="20"/>
        </w:rPr>
        <w:t>czerwcu</w:t>
      </w:r>
      <w:r w:rsidR="001E1D30">
        <w:rPr>
          <w:rFonts w:ascii="Verdana" w:hAnsi="Verdana"/>
          <w:sz w:val="20"/>
          <w:szCs w:val="20"/>
        </w:rPr>
        <w:t xml:space="preserve"> nie </w:t>
      </w:r>
      <w:r w:rsidR="002940B2">
        <w:rPr>
          <w:rFonts w:ascii="Verdana" w:hAnsi="Verdana"/>
          <w:sz w:val="20"/>
          <w:szCs w:val="20"/>
        </w:rPr>
        <w:t>doszło do zmiany lidera pomimo medialnych spadkowiczów w postaci przede wszystkim Lechii Gdańsk. Najlepsza po raz kolejna okazała się Wisła Kraków, dla której wiele publikacji wygenerowały także Igrzyska Europejskie odbywające si</w:t>
      </w:r>
      <w:r w:rsidR="00B240E4">
        <w:rPr>
          <w:rFonts w:ascii="Verdana" w:hAnsi="Verdana"/>
          <w:sz w:val="20"/>
          <w:szCs w:val="20"/>
        </w:rPr>
        <w:t xml:space="preserve">ę m.in. na Stadionie Miejskim im. Henryka </w:t>
      </w:r>
      <w:proofErr w:type="spellStart"/>
      <w:r w:rsidR="00B240E4">
        <w:rPr>
          <w:rFonts w:ascii="Verdana" w:hAnsi="Verdana"/>
          <w:sz w:val="20"/>
          <w:szCs w:val="20"/>
        </w:rPr>
        <w:t>Reymana</w:t>
      </w:r>
      <w:proofErr w:type="spellEnd"/>
      <w:r w:rsidR="00B240E4">
        <w:rPr>
          <w:rFonts w:ascii="Verdana" w:hAnsi="Verdana"/>
          <w:sz w:val="20"/>
          <w:szCs w:val="20"/>
        </w:rPr>
        <w:t>, często nazywanym „stadionem Wisły Kraków”. Publikacje w znaczącej mierze dotyczyły jednak braku oczekiwanego awansu do wyższej klasy rozgrywkowej. Drugie miejsce zajęła wspomniana Lechia, a trzecie Stal Rzeszów. Pozostali spadkowicze z PKO BP Ekstraklasy zajęli piąte (Wisła Płock) i siódme (Miedź Legnica) miejsca w zestawieniu.</w:t>
      </w:r>
    </w:p>
    <w:p w:rsidR="00C23ED8" w:rsidRPr="002100F7" w:rsidRDefault="005044DE" w:rsidP="005044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="002940B2">
        <w:rPr>
          <w:noProof/>
          <w:lang w:eastAsia="pl-PL"/>
        </w:rPr>
        <w:drawing>
          <wp:inline distT="0" distB="0" distL="0" distR="0">
            <wp:extent cx="5571649" cy="2942033"/>
            <wp:effectExtent l="0" t="0" r="0" b="0"/>
            <wp:docPr id="849247913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F88" w:rsidRPr="00D152FE" w:rsidRDefault="00247F88" w:rsidP="002100F7">
      <w:pPr>
        <w:jc w:val="both"/>
        <w:rPr>
          <w:rFonts w:ascii="Verdana" w:hAnsi="Verdana" w:cs="Tahoma"/>
          <w:b/>
          <w:sz w:val="16"/>
          <w:szCs w:val="16"/>
        </w:rPr>
      </w:pPr>
      <w:r w:rsidRPr="00D152FE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D152FE">
        <w:rPr>
          <w:rFonts w:ascii="Verdana" w:hAnsi="Verdana" w:cs="Tahoma"/>
          <w:b/>
          <w:sz w:val="16"/>
          <w:szCs w:val="16"/>
        </w:rPr>
        <w:t>2</w:t>
      </w:r>
      <w:r w:rsidRPr="00D152FE">
        <w:rPr>
          <w:rFonts w:ascii="Verdana" w:hAnsi="Verdana" w:cs="Tahoma"/>
          <w:b/>
          <w:sz w:val="16"/>
          <w:szCs w:val="16"/>
        </w:rPr>
        <w:t xml:space="preserve">. TOP 10 najbardziej medialnych drużyn </w:t>
      </w:r>
      <w:r w:rsidR="003D50BD" w:rsidRPr="00D152FE">
        <w:rPr>
          <w:rFonts w:ascii="Verdana" w:hAnsi="Verdana" w:cs="Tahoma"/>
          <w:b/>
          <w:sz w:val="16"/>
          <w:szCs w:val="16"/>
        </w:rPr>
        <w:t>Fortun</w:t>
      </w:r>
      <w:r w:rsidR="00B62B38" w:rsidRPr="00D152FE">
        <w:rPr>
          <w:rFonts w:ascii="Verdana" w:hAnsi="Verdana" w:cs="Tahoma"/>
          <w:b/>
          <w:sz w:val="16"/>
          <w:szCs w:val="16"/>
        </w:rPr>
        <w:t>a I</w:t>
      </w:r>
      <w:r w:rsidRPr="00D152FE">
        <w:rPr>
          <w:rFonts w:ascii="Verdana" w:hAnsi="Verdana" w:cs="Tahoma"/>
          <w:b/>
          <w:sz w:val="16"/>
          <w:szCs w:val="16"/>
        </w:rPr>
        <w:t xml:space="preserve"> ligi w</w:t>
      </w:r>
      <w:r w:rsidR="005A2972" w:rsidRPr="00D152FE">
        <w:rPr>
          <w:rFonts w:ascii="Verdana" w:hAnsi="Verdana" w:cs="Tahoma"/>
          <w:b/>
          <w:sz w:val="16"/>
          <w:szCs w:val="16"/>
        </w:rPr>
        <w:t xml:space="preserve"> </w:t>
      </w:r>
      <w:r w:rsidR="00B240E4" w:rsidRPr="00D152FE">
        <w:rPr>
          <w:rFonts w:ascii="Verdana" w:hAnsi="Verdana" w:cs="Tahoma"/>
          <w:b/>
          <w:sz w:val="16"/>
          <w:szCs w:val="16"/>
        </w:rPr>
        <w:t>czerwcu</w:t>
      </w:r>
      <w:r w:rsidR="007E2140" w:rsidRPr="00D152FE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D152FE">
        <w:rPr>
          <w:rFonts w:ascii="Verdana" w:hAnsi="Verdana" w:cs="Tahoma"/>
          <w:b/>
          <w:sz w:val="16"/>
          <w:szCs w:val="16"/>
        </w:rPr>
        <w:t>202</w:t>
      </w:r>
      <w:r w:rsidR="005F213B" w:rsidRPr="00D152FE">
        <w:rPr>
          <w:rFonts w:ascii="Verdana" w:hAnsi="Verdana" w:cs="Tahoma"/>
          <w:b/>
          <w:sz w:val="16"/>
          <w:szCs w:val="16"/>
        </w:rPr>
        <w:t>3</w:t>
      </w:r>
      <w:r w:rsidR="00341340" w:rsidRPr="00D152FE">
        <w:rPr>
          <w:rFonts w:ascii="Verdana" w:hAnsi="Verdana" w:cs="Tahoma"/>
          <w:b/>
          <w:sz w:val="16"/>
          <w:szCs w:val="16"/>
        </w:rPr>
        <w:t xml:space="preserve"> </w:t>
      </w:r>
      <w:r w:rsidRPr="00D152F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B240E4" w:rsidRDefault="00427FC4" w:rsidP="00E15E8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Robert Lewandowski </w:t>
      </w:r>
      <w:r w:rsidR="00B240E4">
        <w:rPr>
          <w:rFonts w:ascii="Verdana" w:hAnsi="Verdana"/>
          <w:sz w:val="20"/>
          <w:szCs w:val="20"/>
        </w:rPr>
        <w:t>także w czerwcu</w:t>
      </w:r>
      <w:r>
        <w:rPr>
          <w:rFonts w:ascii="Verdana" w:hAnsi="Verdana"/>
          <w:sz w:val="20"/>
          <w:szCs w:val="20"/>
        </w:rPr>
        <w:t xml:space="preserve"> okazał się najbardziej medialnym polskim piłkarzem klubów jednej z</w:t>
      </w:r>
      <w:r w:rsidRPr="00D653AB">
        <w:rPr>
          <w:rFonts w:ascii="Verdana" w:hAnsi="Verdana"/>
          <w:sz w:val="20"/>
          <w:szCs w:val="20"/>
        </w:rPr>
        <w:t xml:space="preserve"> pięciu najs</w:t>
      </w:r>
      <w:r>
        <w:rPr>
          <w:rFonts w:ascii="Verdana" w:hAnsi="Verdana"/>
          <w:sz w:val="20"/>
          <w:szCs w:val="20"/>
        </w:rPr>
        <w:t>ilniejszych europejskich lig</w:t>
      </w:r>
      <w:r w:rsidR="00B240E4">
        <w:rPr>
          <w:rFonts w:ascii="Verdana" w:hAnsi="Verdana"/>
          <w:sz w:val="20"/>
          <w:szCs w:val="20"/>
        </w:rPr>
        <w:t xml:space="preserve">. W związku z meczami </w:t>
      </w:r>
      <w:r w:rsidR="00B240E4">
        <w:rPr>
          <w:rFonts w:ascii="Verdana" w:hAnsi="Verdana"/>
          <w:sz w:val="20"/>
          <w:szCs w:val="20"/>
        </w:rPr>
        <w:lastRenderedPageBreak/>
        <w:t xml:space="preserve">reprezentacji z Niemcami i Mołdawią, liczba publikacji o reprezentantach Polski była zauważalnie wyższa niż w poprzednich miesiącach. Na drugim miejscu znalazł, o którym w czerwcu często pisano także w kontekście pozostania w </w:t>
      </w:r>
      <w:proofErr w:type="spellStart"/>
      <w:r w:rsidR="00B240E4">
        <w:rPr>
          <w:rFonts w:ascii="Verdana" w:hAnsi="Verdana"/>
          <w:sz w:val="20"/>
          <w:szCs w:val="20"/>
        </w:rPr>
        <w:t>Juventusie</w:t>
      </w:r>
      <w:proofErr w:type="spellEnd"/>
      <w:r w:rsidR="00B240E4">
        <w:rPr>
          <w:rFonts w:ascii="Verdana" w:hAnsi="Verdana"/>
          <w:sz w:val="20"/>
          <w:szCs w:val="20"/>
        </w:rPr>
        <w:t xml:space="preserve"> Turyn. Trzecie miejsce zajął Piotr Zieliński</w:t>
      </w:r>
      <w:r w:rsidR="002C7036">
        <w:rPr>
          <w:rFonts w:ascii="Verdana" w:hAnsi="Verdana"/>
          <w:sz w:val="20"/>
          <w:szCs w:val="20"/>
        </w:rPr>
        <w:t xml:space="preserve">. Czołową szóstkę uzupełnili natomiast </w:t>
      </w:r>
      <w:r w:rsidR="00B240E4">
        <w:rPr>
          <w:rFonts w:ascii="Verdana" w:hAnsi="Verdana"/>
          <w:sz w:val="20"/>
          <w:szCs w:val="20"/>
        </w:rPr>
        <w:t>Wojciech Szczęsny</w:t>
      </w:r>
      <w:r w:rsidR="002C7036">
        <w:rPr>
          <w:rFonts w:ascii="Verdana" w:hAnsi="Verdana"/>
          <w:sz w:val="20"/>
          <w:szCs w:val="20"/>
        </w:rPr>
        <w:t xml:space="preserve">, Jakub Kiwior i Jan Bednarek. </w:t>
      </w:r>
    </w:p>
    <w:p w:rsidR="00427FC4" w:rsidRDefault="00B240E4" w:rsidP="00E15E8D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566067" cy="2942033"/>
            <wp:effectExtent l="0" t="0" r="0" b="0"/>
            <wp:docPr id="1953136914" name="Wykres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0000000-0008-0000-3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F88" w:rsidRDefault="00247F88" w:rsidP="00EC3B6B">
      <w:pPr>
        <w:jc w:val="both"/>
        <w:rPr>
          <w:rFonts w:ascii="Verdana" w:hAnsi="Verdana" w:cs="Tahoma"/>
          <w:b/>
          <w:sz w:val="16"/>
          <w:szCs w:val="16"/>
        </w:rPr>
      </w:pPr>
      <w:r w:rsidRPr="00D152FE">
        <w:rPr>
          <w:rFonts w:ascii="Verdana" w:hAnsi="Verdana" w:cs="Tahoma"/>
          <w:b/>
          <w:sz w:val="16"/>
          <w:szCs w:val="16"/>
        </w:rPr>
        <w:t xml:space="preserve">Wykres </w:t>
      </w:r>
      <w:r w:rsidR="009B4EFD" w:rsidRPr="00D152FE">
        <w:rPr>
          <w:rFonts w:ascii="Verdana" w:hAnsi="Verdana" w:cs="Tahoma"/>
          <w:b/>
          <w:sz w:val="16"/>
          <w:szCs w:val="16"/>
        </w:rPr>
        <w:t>3</w:t>
      </w:r>
      <w:r w:rsidRPr="00D152FE">
        <w:rPr>
          <w:rFonts w:ascii="Verdana" w:hAnsi="Verdana" w:cs="Tahoma"/>
          <w:b/>
          <w:sz w:val="16"/>
          <w:szCs w:val="16"/>
        </w:rPr>
        <w:t>. TOP 10 najbardziej medialnych polskich piłkarzy występujących w pięciu najmoc</w:t>
      </w:r>
      <w:r w:rsidR="00ED0A59" w:rsidRPr="00D152FE">
        <w:rPr>
          <w:rFonts w:ascii="Verdana" w:hAnsi="Verdana" w:cs="Tahoma"/>
          <w:b/>
          <w:sz w:val="16"/>
          <w:szCs w:val="16"/>
        </w:rPr>
        <w:t>n</w:t>
      </w:r>
      <w:r w:rsidR="00BF7364" w:rsidRPr="00D152FE">
        <w:rPr>
          <w:rFonts w:ascii="Verdana" w:hAnsi="Verdana" w:cs="Tahoma"/>
          <w:b/>
          <w:sz w:val="16"/>
          <w:szCs w:val="16"/>
        </w:rPr>
        <w:t xml:space="preserve">iejszych ligach europejskich w </w:t>
      </w:r>
      <w:r w:rsidR="002C7036" w:rsidRPr="00D152FE">
        <w:rPr>
          <w:rFonts w:ascii="Verdana" w:hAnsi="Verdana" w:cs="Tahoma"/>
          <w:b/>
          <w:sz w:val="16"/>
          <w:szCs w:val="16"/>
        </w:rPr>
        <w:t>czerwcu</w:t>
      </w:r>
      <w:r w:rsidR="00BF7364" w:rsidRPr="00D152FE">
        <w:rPr>
          <w:rFonts w:ascii="Verdana" w:hAnsi="Verdana" w:cs="Tahoma"/>
          <w:b/>
          <w:sz w:val="16"/>
          <w:szCs w:val="16"/>
        </w:rPr>
        <w:t xml:space="preserve"> </w:t>
      </w:r>
      <w:r w:rsidR="00323667" w:rsidRPr="00D152FE">
        <w:rPr>
          <w:rFonts w:ascii="Verdana" w:hAnsi="Verdana" w:cs="Tahoma"/>
          <w:b/>
          <w:sz w:val="16"/>
          <w:szCs w:val="16"/>
        </w:rPr>
        <w:t>202</w:t>
      </w:r>
      <w:r w:rsidR="005F213B" w:rsidRPr="00D152FE">
        <w:rPr>
          <w:rFonts w:ascii="Verdana" w:hAnsi="Verdana" w:cs="Tahoma"/>
          <w:b/>
          <w:sz w:val="16"/>
          <w:szCs w:val="16"/>
        </w:rPr>
        <w:t>3</w:t>
      </w:r>
      <w:r w:rsidR="003E182D" w:rsidRPr="00D152FE">
        <w:rPr>
          <w:rFonts w:ascii="Verdana" w:hAnsi="Verdana" w:cs="Tahoma"/>
          <w:b/>
          <w:sz w:val="16"/>
          <w:szCs w:val="16"/>
        </w:rPr>
        <w:t xml:space="preserve"> </w:t>
      </w:r>
      <w:r w:rsidRPr="00D152FE">
        <w:rPr>
          <w:rFonts w:ascii="Verdana" w:hAnsi="Verdana" w:cs="Tahoma"/>
          <w:b/>
          <w:sz w:val="16"/>
          <w:szCs w:val="16"/>
        </w:rPr>
        <w:t>(prasa i wybrane strony internetowe)</w:t>
      </w:r>
    </w:p>
    <w:p w:rsidR="00D152FE" w:rsidRDefault="00D152FE" w:rsidP="00EC3B6B">
      <w:pPr>
        <w:jc w:val="both"/>
        <w:rPr>
          <w:rFonts w:ascii="Verdana" w:hAnsi="Verdana" w:cs="Tahoma"/>
          <w:b/>
          <w:sz w:val="16"/>
          <w:szCs w:val="16"/>
        </w:rPr>
      </w:pPr>
    </w:p>
    <w:p w:rsidR="00D152FE" w:rsidRPr="00D152FE" w:rsidRDefault="00D152FE" w:rsidP="00EC3B6B">
      <w:pPr>
        <w:jc w:val="both"/>
        <w:rPr>
          <w:rFonts w:ascii="Verdana" w:hAnsi="Verdana" w:cs="Tahoma"/>
          <w:b/>
          <w:sz w:val="16"/>
          <w:szCs w:val="16"/>
        </w:rPr>
      </w:pPr>
      <w:r>
        <w:rPr>
          <w:rFonts w:ascii="Verdana" w:hAnsi="Verdana" w:cs="Tahoma"/>
          <w:b/>
          <w:sz w:val="16"/>
          <w:szCs w:val="16"/>
        </w:rPr>
        <w:t>--------------------------------------------------------------------------------------------</w:t>
      </w:r>
    </w:p>
    <w:p w:rsidR="0001617E" w:rsidRPr="00247F88" w:rsidRDefault="0001617E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  <w:r w:rsidRPr="00247F88">
        <w:rPr>
          <w:rFonts w:ascii="Verdana" w:hAnsi="Verdana"/>
          <w:sz w:val="20"/>
          <w:szCs w:val="20"/>
        </w:rPr>
        <w:t>„</w:t>
      </w:r>
      <w:r>
        <w:rPr>
          <w:rFonts w:ascii="Verdana" w:hAnsi="Verdana"/>
          <w:sz w:val="20"/>
          <w:szCs w:val="20"/>
        </w:rPr>
        <w:t>Piłka w grze</w:t>
      </w:r>
      <w:r w:rsidRPr="00247F88">
        <w:rPr>
          <w:rFonts w:ascii="Verdana" w:hAnsi="Verdana"/>
          <w:sz w:val="20"/>
          <w:szCs w:val="20"/>
        </w:rPr>
        <w:t>”</w:t>
      </w:r>
      <w:r>
        <w:rPr>
          <w:rFonts w:ascii="Verdana" w:hAnsi="Verdana"/>
          <w:sz w:val="20"/>
          <w:szCs w:val="20"/>
        </w:rPr>
        <w:t>, dawniej „Polska Piłka”</w:t>
      </w:r>
      <w:r w:rsidRPr="00247F88">
        <w:rPr>
          <w:rFonts w:ascii="Verdana" w:hAnsi="Verdana"/>
          <w:sz w:val="20"/>
          <w:szCs w:val="20"/>
        </w:rPr>
        <w:t xml:space="preserve"> to cykliczna analiza prowadzona przez </w:t>
      </w:r>
      <w:r>
        <w:rPr>
          <w:rFonts w:ascii="Verdana" w:hAnsi="Verdana"/>
          <w:sz w:val="20"/>
          <w:szCs w:val="20"/>
        </w:rPr>
        <w:t xml:space="preserve">PSMM Monitoring &amp; </w:t>
      </w:r>
      <w:proofErr w:type="spellStart"/>
      <w:r>
        <w:rPr>
          <w:rFonts w:ascii="Verdana" w:hAnsi="Verdana"/>
          <w:sz w:val="20"/>
          <w:szCs w:val="20"/>
        </w:rPr>
        <w:t>More</w:t>
      </w:r>
      <w:proofErr w:type="spellEnd"/>
      <w:r>
        <w:rPr>
          <w:rFonts w:ascii="Verdana" w:hAnsi="Verdana"/>
          <w:sz w:val="20"/>
          <w:szCs w:val="20"/>
        </w:rPr>
        <w:t>. U</w:t>
      </w:r>
      <w:r w:rsidRPr="00247F88">
        <w:rPr>
          <w:rFonts w:ascii="Verdana" w:hAnsi="Verdana"/>
          <w:sz w:val="20"/>
          <w:szCs w:val="20"/>
        </w:rPr>
        <w:t xml:space="preserve">względnia medialność klubów Ekstraklasy, 1. ligi oraz polskich piłkarzy występujących w Premier </w:t>
      </w:r>
      <w:proofErr w:type="spellStart"/>
      <w:r w:rsidRPr="00247F88">
        <w:rPr>
          <w:rFonts w:ascii="Verdana" w:hAnsi="Verdana"/>
          <w:sz w:val="20"/>
          <w:szCs w:val="20"/>
        </w:rPr>
        <w:t>League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Primera</w:t>
      </w:r>
      <w:proofErr w:type="spellEnd"/>
      <w:r w:rsidRPr="00247F88">
        <w:rPr>
          <w:rFonts w:ascii="Verdana" w:hAnsi="Verdana"/>
          <w:sz w:val="20"/>
          <w:szCs w:val="20"/>
        </w:rPr>
        <w:t xml:space="preserve"> </w:t>
      </w:r>
      <w:proofErr w:type="spellStart"/>
      <w:r w:rsidRPr="00247F88">
        <w:rPr>
          <w:rFonts w:ascii="Verdana" w:hAnsi="Verdana"/>
          <w:sz w:val="20"/>
          <w:szCs w:val="20"/>
        </w:rPr>
        <w:t>Division</w:t>
      </w:r>
      <w:proofErr w:type="spellEnd"/>
      <w:r w:rsidRPr="00247F88">
        <w:rPr>
          <w:rFonts w:ascii="Verdana" w:hAnsi="Verdana"/>
          <w:sz w:val="20"/>
          <w:szCs w:val="20"/>
        </w:rPr>
        <w:t xml:space="preserve">, </w:t>
      </w:r>
      <w:proofErr w:type="spellStart"/>
      <w:r w:rsidRPr="00247F88">
        <w:rPr>
          <w:rFonts w:ascii="Verdana" w:hAnsi="Verdana"/>
          <w:sz w:val="20"/>
          <w:szCs w:val="20"/>
        </w:rPr>
        <w:t>Ligue</w:t>
      </w:r>
      <w:proofErr w:type="spellEnd"/>
      <w:r w:rsidRPr="00247F88">
        <w:rPr>
          <w:rFonts w:ascii="Verdana" w:hAnsi="Verdana"/>
          <w:sz w:val="20"/>
          <w:szCs w:val="20"/>
        </w:rPr>
        <w:t xml:space="preserve"> 1, Serie A i pierwszej Bundeslidze. Proces analizy obejmuje ponad 1100 tytułów prasowych i wybrane strony internetowe. Ponadto analitycy sprawdzają popularność klubów Ekstraklasy w mediach społecznościowych (Facebook.com, Twitter.com, Youtube.com</w:t>
      </w:r>
      <w:r>
        <w:rPr>
          <w:rFonts w:ascii="Verdana" w:hAnsi="Verdana"/>
          <w:sz w:val="20"/>
          <w:szCs w:val="20"/>
        </w:rPr>
        <w:t>, Instagram.com, Wykop.pl</w:t>
      </w:r>
      <w:r w:rsidRPr="00247F88">
        <w:rPr>
          <w:rFonts w:ascii="Verdana" w:hAnsi="Verdana"/>
          <w:sz w:val="20"/>
          <w:szCs w:val="20"/>
        </w:rPr>
        <w:t xml:space="preserve">) . Badanie prowadzone jest cyklicznie począwszy od 1 marca 2010 roku. </w:t>
      </w:r>
    </w:p>
    <w:p w:rsidR="0001617E" w:rsidRPr="00247F88" w:rsidRDefault="0001617E" w:rsidP="0001617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 xml:space="preserve"> wyraża zgodę na pełną lub częściową publikację materiałów pod warunkiem podania źródła (pełna nazwa firmy: </w:t>
      </w:r>
      <w:r>
        <w:rPr>
          <w:rFonts w:ascii="Verdana" w:hAnsi="Verdana"/>
          <w:i/>
          <w:sz w:val="20"/>
          <w:szCs w:val="20"/>
        </w:rPr>
        <w:t>PSMM Monitoring &amp; More</w:t>
      </w:r>
      <w:r w:rsidRPr="00247F88">
        <w:rPr>
          <w:rFonts w:ascii="Verdana" w:hAnsi="Verdana"/>
          <w:i/>
          <w:sz w:val="20"/>
          <w:szCs w:val="20"/>
        </w:rPr>
        <w:t>). W przypadku wykorzystania grafik należy wskazać źródło (nazwę firmy lub logotyp) przy każdym wykresie.</w:t>
      </w:r>
    </w:p>
    <w:p w:rsidR="0001617E" w:rsidRPr="00EC3B6B" w:rsidRDefault="0001617E" w:rsidP="0001617E">
      <w:pPr>
        <w:spacing w:line="288" w:lineRule="auto"/>
        <w:rPr>
          <w:rFonts w:ascii="Verdana" w:hAnsi="Verdana"/>
          <w:color w:val="0000FF"/>
          <w:sz w:val="20"/>
          <w:szCs w:val="20"/>
          <w:u w:val="single"/>
        </w:rPr>
      </w:pPr>
      <w:r w:rsidRPr="00247F88">
        <w:rPr>
          <w:rFonts w:ascii="Verdana" w:hAnsi="Verdana"/>
          <w:sz w:val="20"/>
          <w:szCs w:val="20"/>
        </w:rPr>
        <w:t xml:space="preserve">Zapoznaj się z raportami dla mediów: </w:t>
      </w:r>
      <w:hyperlink r:id="rId9" w:history="1">
        <w:r w:rsidRPr="00247F88">
          <w:rPr>
            <w:rStyle w:val="Hipercze"/>
            <w:rFonts w:ascii="Verdana" w:hAnsi="Verdana"/>
            <w:sz w:val="20"/>
            <w:szCs w:val="20"/>
          </w:rPr>
          <w:t>http://psmm.pl/pl/raporty-specjalne</w:t>
        </w:r>
      </w:hyperlink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u w:val="single"/>
        </w:rPr>
        <w:t>Osoba do kontaktu:</w:t>
      </w:r>
    </w:p>
    <w:p w:rsidR="0001617E" w:rsidRDefault="0001617E" w:rsidP="0001617E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Katarzyna Popławska</w:t>
      </w:r>
      <w:r>
        <w:rPr>
          <w:rFonts w:ascii="Verdana" w:hAnsi="Verdana"/>
          <w:sz w:val="20"/>
          <w:szCs w:val="20"/>
        </w:rPr>
        <w:br/>
        <w:t>Kierownik Działu Marketingu i PR</w:t>
      </w:r>
      <w:r>
        <w:rPr>
          <w:rFonts w:ascii="Verdana" w:hAnsi="Verdana"/>
          <w:sz w:val="20"/>
          <w:szCs w:val="20"/>
        </w:rPr>
        <w:br/>
        <w:t>kom: +48 697 410 680</w:t>
      </w:r>
      <w:r>
        <w:rPr>
          <w:rFonts w:ascii="Verdana" w:hAnsi="Verdana"/>
          <w:sz w:val="20"/>
          <w:szCs w:val="20"/>
        </w:rPr>
        <w:br/>
      </w:r>
      <w:hyperlink r:id="rId10" w:history="1">
        <w:r w:rsidRPr="00FD0AC7">
          <w:rPr>
            <w:rStyle w:val="Hipercze"/>
            <w:rFonts w:ascii="Verdana" w:hAnsi="Verdana"/>
            <w:sz w:val="20"/>
            <w:szCs w:val="20"/>
          </w:rPr>
          <w:t>kpoplawska@psmm.pl</w:t>
        </w:r>
      </w:hyperlink>
    </w:p>
    <w:p w:rsidR="00247F88" w:rsidRPr="00247F88" w:rsidRDefault="00247F88" w:rsidP="0001617E">
      <w:pPr>
        <w:tabs>
          <w:tab w:val="num" w:pos="1260"/>
        </w:tabs>
        <w:jc w:val="both"/>
        <w:rPr>
          <w:rFonts w:ascii="Verdana" w:hAnsi="Verdana"/>
          <w:sz w:val="20"/>
          <w:szCs w:val="20"/>
        </w:rPr>
      </w:pPr>
    </w:p>
    <w:sectPr w:rsidR="00247F88" w:rsidRPr="00247F88" w:rsidSect="00344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4F" w:rsidRDefault="00891E4F" w:rsidP="00D269C7">
      <w:pPr>
        <w:spacing w:after="0" w:line="240" w:lineRule="auto"/>
      </w:pPr>
      <w:r>
        <w:separator/>
      </w:r>
    </w:p>
  </w:endnote>
  <w:endnote w:type="continuationSeparator" w:id="0">
    <w:p w:rsidR="00891E4F" w:rsidRDefault="00891E4F" w:rsidP="00D26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4F" w:rsidRDefault="00891E4F" w:rsidP="00D269C7">
      <w:pPr>
        <w:spacing w:after="0" w:line="240" w:lineRule="auto"/>
      </w:pPr>
      <w:r>
        <w:separator/>
      </w:r>
    </w:p>
  </w:footnote>
  <w:footnote w:type="continuationSeparator" w:id="0">
    <w:p w:rsidR="00891E4F" w:rsidRDefault="00891E4F" w:rsidP="00D26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84A"/>
    <w:rsid w:val="000063C0"/>
    <w:rsid w:val="00015769"/>
    <w:rsid w:val="00015F39"/>
    <w:rsid w:val="0001617E"/>
    <w:rsid w:val="00020614"/>
    <w:rsid w:val="00020DC0"/>
    <w:rsid w:val="00022A3D"/>
    <w:rsid w:val="00036FF5"/>
    <w:rsid w:val="00052E82"/>
    <w:rsid w:val="000534F9"/>
    <w:rsid w:val="00063426"/>
    <w:rsid w:val="0006396B"/>
    <w:rsid w:val="00070C18"/>
    <w:rsid w:val="00074E58"/>
    <w:rsid w:val="00075062"/>
    <w:rsid w:val="000945AD"/>
    <w:rsid w:val="00094EF6"/>
    <w:rsid w:val="000A1BF2"/>
    <w:rsid w:val="000A4D19"/>
    <w:rsid w:val="000B24C0"/>
    <w:rsid w:val="000E3B9E"/>
    <w:rsid w:val="001019F2"/>
    <w:rsid w:val="00104FED"/>
    <w:rsid w:val="001064EA"/>
    <w:rsid w:val="00110FCF"/>
    <w:rsid w:val="00114B6F"/>
    <w:rsid w:val="00120E44"/>
    <w:rsid w:val="00143482"/>
    <w:rsid w:val="00146EC0"/>
    <w:rsid w:val="001477D6"/>
    <w:rsid w:val="001540EE"/>
    <w:rsid w:val="00176C60"/>
    <w:rsid w:val="00184157"/>
    <w:rsid w:val="001902EE"/>
    <w:rsid w:val="001902F8"/>
    <w:rsid w:val="00190B7C"/>
    <w:rsid w:val="00194260"/>
    <w:rsid w:val="001A1C1B"/>
    <w:rsid w:val="001A435A"/>
    <w:rsid w:val="001B6ADD"/>
    <w:rsid w:val="001C21A5"/>
    <w:rsid w:val="001C5133"/>
    <w:rsid w:val="001C55B1"/>
    <w:rsid w:val="001D0D93"/>
    <w:rsid w:val="001E1D30"/>
    <w:rsid w:val="001E5065"/>
    <w:rsid w:val="001E7371"/>
    <w:rsid w:val="001F3ECA"/>
    <w:rsid w:val="002006FD"/>
    <w:rsid w:val="0020466A"/>
    <w:rsid w:val="002100F7"/>
    <w:rsid w:val="002201F8"/>
    <w:rsid w:val="00221CC6"/>
    <w:rsid w:val="00226848"/>
    <w:rsid w:val="00226F76"/>
    <w:rsid w:val="00234715"/>
    <w:rsid w:val="00240EC0"/>
    <w:rsid w:val="00241AB2"/>
    <w:rsid w:val="0024454A"/>
    <w:rsid w:val="002475D7"/>
    <w:rsid w:val="00247F88"/>
    <w:rsid w:val="0025201B"/>
    <w:rsid w:val="002543C1"/>
    <w:rsid w:val="002828A0"/>
    <w:rsid w:val="00283A7F"/>
    <w:rsid w:val="00285537"/>
    <w:rsid w:val="00291294"/>
    <w:rsid w:val="002940B2"/>
    <w:rsid w:val="002A47F5"/>
    <w:rsid w:val="002B0E9C"/>
    <w:rsid w:val="002B120E"/>
    <w:rsid w:val="002B797D"/>
    <w:rsid w:val="002C37CF"/>
    <w:rsid w:val="002C7036"/>
    <w:rsid w:val="002D3005"/>
    <w:rsid w:val="002D43F7"/>
    <w:rsid w:val="002E51BA"/>
    <w:rsid w:val="002F08B8"/>
    <w:rsid w:val="002F6F41"/>
    <w:rsid w:val="0030060A"/>
    <w:rsid w:val="00302623"/>
    <w:rsid w:val="00302883"/>
    <w:rsid w:val="003036B3"/>
    <w:rsid w:val="00310ECC"/>
    <w:rsid w:val="00321B79"/>
    <w:rsid w:val="00323667"/>
    <w:rsid w:val="00335D68"/>
    <w:rsid w:val="00341340"/>
    <w:rsid w:val="003446E1"/>
    <w:rsid w:val="0036068F"/>
    <w:rsid w:val="00364DC5"/>
    <w:rsid w:val="003659D6"/>
    <w:rsid w:val="003670CC"/>
    <w:rsid w:val="00373292"/>
    <w:rsid w:val="00377418"/>
    <w:rsid w:val="00384703"/>
    <w:rsid w:val="0039405D"/>
    <w:rsid w:val="00394E7F"/>
    <w:rsid w:val="00395093"/>
    <w:rsid w:val="00396D3D"/>
    <w:rsid w:val="003B30FB"/>
    <w:rsid w:val="003B4F07"/>
    <w:rsid w:val="003C64D3"/>
    <w:rsid w:val="003D50BD"/>
    <w:rsid w:val="003E182D"/>
    <w:rsid w:val="003F12F2"/>
    <w:rsid w:val="003F30FD"/>
    <w:rsid w:val="00403344"/>
    <w:rsid w:val="00412AA8"/>
    <w:rsid w:val="00415BF4"/>
    <w:rsid w:val="00426128"/>
    <w:rsid w:val="00427FC4"/>
    <w:rsid w:val="00434677"/>
    <w:rsid w:val="004419DB"/>
    <w:rsid w:val="0044665C"/>
    <w:rsid w:val="00452728"/>
    <w:rsid w:val="0045392D"/>
    <w:rsid w:val="00456C5A"/>
    <w:rsid w:val="00461437"/>
    <w:rsid w:val="0046393C"/>
    <w:rsid w:val="00463D91"/>
    <w:rsid w:val="00467EEA"/>
    <w:rsid w:val="00474DA0"/>
    <w:rsid w:val="00480937"/>
    <w:rsid w:val="004915B0"/>
    <w:rsid w:val="004A152F"/>
    <w:rsid w:val="004B6000"/>
    <w:rsid w:val="004B695B"/>
    <w:rsid w:val="004C4FBB"/>
    <w:rsid w:val="004D5854"/>
    <w:rsid w:val="004D66D3"/>
    <w:rsid w:val="004F73C5"/>
    <w:rsid w:val="00503E2C"/>
    <w:rsid w:val="005044DE"/>
    <w:rsid w:val="0051112F"/>
    <w:rsid w:val="00516B9F"/>
    <w:rsid w:val="00517B59"/>
    <w:rsid w:val="00524AE3"/>
    <w:rsid w:val="00531AD8"/>
    <w:rsid w:val="005561A5"/>
    <w:rsid w:val="00561080"/>
    <w:rsid w:val="00562442"/>
    <w:rsid w:val="00563CB2"/>
    <w:rsid w:val="00565B2F"/>
    <w:rsid w:val="005717E8"/>
    <w:rsid w:val="00573E35"/>
    <w:rsid w:val="0057486C"/>
    <w:rsid w:val="005762BA"/>
    <w:rsid w:val="00577A8E"/>
    <w:rsid w:val="00580BAD"/>
    <w:rsid w:val="00591338"/>
    <w:rsid w:val="005A2972"/>
    <w:rsid w:val="005A4A80"/>
    <w:rsid w:val="005B1D13"/>
    <w:rsid w:val="005B28CF"/>
    <w:rsid w:val="005B2EFA"/>
    <w:rsid w:val="005C2FE4"/>
    <w:rsid w:val="005C3038"/>
    <w:rsid w:val="005D562F"/>
    <w:rsid w:val="005D5DD0"/>
    <w:rsid w:val="005E2541"/>
    <w:rsid w:val="005E498F"/>
    <w:rsid w:val="005E6826"/>
    <w:rsid w:val="005F213B"/>
    <w:rsid w:val="005F65E7"/>
    <w:rsid w:val="006040DD"/>
    <w:rsid w:val="00604700"/>
    <w:rsid w:val="00606806"/>
    <w:rsid w:val="00623729"/>
    <w:rsid w:val="00631176"/>
    <w:rsid w:val="006336E5"/>
    <w:rsid w:val="00640D13"/>
    <w:rsid w:val="00641D87"/>
    <w:rsid w:val="00642F18"/>
    <w:rsid w:val="00645829"/>
    <w:rsid w:val="006466F7"/>
    <w:rsid w:val="006761DE"/>
    <w:rsid w:val="00677B81"/>
    <w:rsid w:val="006A0616"/>
    <w:rsid w:val="006A0D60"/>
    <w:rsid w:val="006C4D4A"/>
    <w:rsid w:val="006C6E2A"/>
    <w:rsid w:val="006D092F"/>
    <w:rsid w:val="006D0EA5"/>
    <w:rsid w:val="006F3397"/>
    <w:rsid w:val="006F3E39"/>
    <w:rsid w:val="00701144"/>
    <w:rsid w:val="0070535F"/>
    <w:rsid w:val="007068AC"/>
    <w:rsid w:val="00706A70"/>
    <w:rsid w:val="00710CEE"/>
    <w:rsid w:val="00713905"/>
    <w:rsid w:val="00723DDB"/>
    <w:rsid w:val="00731862"/>
    <w:rsid w:val="00731A80"/>
    <w:rsid w:val="007363C3"/>
    <w:rsid w:val="007409DB"/>
    <w:rsid w:val="00743962"/>
    <w:rsid w:val="00747C23"/>
    <w:rsid w:val="00747F47"/>
    <w:rsid w:val="007552BF"/>
    <w:rsid w:val="007624F2"/>
    <w:rsid w:val="007632C8"/>
    <w:rsid w:val="00767B51"/>
    <w:rsid w:val="00770054"/>
    <w:rsid w:val="00784F5B"/>
    <w:rsid w:val="007909C3"/>
    <w:rsid w:val="0079567E"/>
    <w:rsid w:val="00795E39"/>
    <w:rsid w:val="007A0BBE"/>
    <w:rsid w:val="007A2650"/>
    <w:rsid w:val="007B1E22"/>
    <w:rsid w:val="007B3B54"/>
    <w:rsid w:val="007B4104"/>
    <w:rsid w:val="007B6C23"/>
    <w:rsid w:val="007C53C9"/>
    <w:rsid w:val="007C6A02"/>
    <w:rsid w:val="007D484E"/>
    <w:rsid w:val="007E2140"/>
    <w:rsid w:val="007E4D56"/>
    <w:rsid w:val="007F0478"/>
    <w:rsid w:val="007F551A"/>
    <w:rsid w:val="007F5E26"/>
    <w:rsid w:val="00803095"/>
    <w:rsid w:val="00815BE9"/>
    <w:rsid w:val="00827D3A"/>
    <w:rsid w:val="008462E8"/>
    <w:rsid w:val="008525CD"/>
    <w:rsid w:val="00866C67"/>
    <w:rsid w:val="00872B92"/>
    <w:rsid w:val="00873604"/>
    <w:rsid w:val="00874475"/>
    <w:rsid w:val="00877570"/>
    <w:rsid w:val="008829F2"/>
    <w:rsid w:val="00884548"/>
    <w:rsid w:val="00891E4F"/>
    <w:rsid w:val="00896E10"/>
    <w:rsid w:val="008A0CC8"/>
    <w:rsid w:val="008B3435"/>
    <w:rsid w:val="008B751E"/>
    <w:rsid w:val="008D263D"/>
    <w:rsid w:val="008D3A45"/>
    <w:rsid w:val="008E266C"/>
    <w:rsid w:val="008E2E05"/>
    <w:rsid w:val="008E4C7B"/>
    <w:rsid w:val="008E7695"/>
    <w:rsid w:val="008E7F34"/>
    <w:rsid w:val="008F3D29"/>
    <w:rsid w:val="009010C9"/>
    <w:rsid w:val="00916170"/>
    <w:rsid w:val="00917B97"/>
    <w:rsid w:val="00926F26"/>
    <w:rsid w:val="0093284A"/>
    <w:rsid w:val="00934191"/>
    <w:rsid w:val="009344CD"/>
    <w:rsid w:val="009A3B63"/>
    <w:rsid w:val="009B0747"/>
    <w:rsid w:val="009B2072"/>
    <w:rsid w:val="009B4EFD"/>
    <w:rsid w:val="009C204D"/>
    <w:rsid w:val="009C48C5"/>
    <w:rsid w:val="009D1001"/>
    <w:rsid w:val="009D4A50"/>
    <w:rsid w:val="009F1525"/>
    <w:rsid w:val="009F19B6"/>
    <w:rsid w:val="009F40D8"/>
    <w:rsid w:val="00A07483"/>
    <w:rsid w:val="00A12A7E"/>
    <w:rsid w:val="00A145D6"/>
    <w:rsid w:val="00A158F1"/>
    <w:rsid w:val="00A15D18"/>
    <w:rsid w:val="00A17705"/>
    <w:rsid w:val="00A22E05"/>
    <w:rsid w:val="00A2507F"/>
    <w:rsid w:val="00A25BF6"/>
    <w:rsid w:val="00A448DC"/>
    <w:rsid w:val="00A561B9"/>
    <w:rsid w:val="00A60AC3"/>
    <w:rsid w:val="00A614BC"/>
    <w:rsid w:val="00A651AF"/>
    <w:rsid w:val="00A6628D"/>
    <w:rsid w:val="00A66988"/>
    <w:rsid w:val="00A72AD7"/>
    <w:rsid w:val="00A852AE"/>
    <w:rsid w:val="00A8776C"/>
    <w:rsid w:val="00A969B4"/>
    <w:rsid w:val="00AA434A"/>
    <w:rsid w:val="00AA515B"/>
    <w:rsid w:val="00AA68C0"/>
    <w:rsid w:val="00AA710A"/>
    <w:rsid w:val="00AB694E"/>
    <w:rsid w:val="00AD0814"/>
    <w:rsid w:val="00AD30FB"/>
    <w:rsid w:val="00AF0372"/>
    <w:rsid w:val="00B00661"/>
    <w:rsid w:val="00B1774B"/>
    <w:rsid w:val="00B240E4"/>
    <w:rsid w:val="00B370A2"/>
    <w:rsid w:val="00B40C30"/>
    <w:rsid w:val="00B5104A"/>
    <w:rsid w:val="00B511EC"/>
    <w:rsid w:val="00B6091A"/>
    <w:rsid w:val="00B62B38"/>
    <w:rsid w:val="00B65B73"/>
    <w:rsid w:val="00B76A07"/>
    <w:rsid w:val="00B81C53"/>
    <w:rsid w:val="00B905B6"/>
    <w:rsid w:val="00B9253E"/>
    <w:rsid w:val="00BA0CE6"/>
    <w:rsid w:val="00BA5331"/>
    <w:rsid w:val="00BA5CAB"/>
    <w:rsid w:val="00BB0F90"/>
    <w:rsid w:val="00BB13AC"/>
    <w:rsid w:val="00BB2322"/>
    <w:rsid w:val="00BB3D42"/>
    <w:rsid w:val="00BC6747"/>
    <w:rsid w:val="00BD3E78"/>
    <w:rsid w:val="00BD425A"/>
    <w:rsid w:val="00BD437D"/>
    <w:rsid w:val="00BD53B1"/>
    <w:rsid w:val="00BE549B"/>
    <w:rsid w:val="00BE646F"/>
    <w:rsid w:val="00BF0237"/>
    <w:rsid w:val="00BF5AF4"/>
    <w:rsid w:val="00BF7364"/>
    <w:rsid w:val="00C03F53"/>
    <w:rsid w:val="00C06068"/>
    <w:rsid w:val="00C07ADF"/>
    <w:rsid w:val="00C21325"/>
    <w:rsid w:val="00C23ED8"/>
    <w:rsid w:val="00C27984"/>
    <w:rsid w:val="00C369FB"/>
    <w:rsid w:val="00C40353"/>
    <w:rsid w:val="00C42C50"/>
    <w:rsid w:val="00C4397B"/>
    <w:rsid w:val="00C43BF2"/>
    <w:rsid w:val="00C51BF2"/>
    <w:rsid w:val="00C675B3"/>
    <w:rsid w:val="00C72355"/>
    <w:rsid w:val="00C75C75"/>
    <w:rsid w:val="00C7783F"/>
    <w:rsid w:val="00C87AF6"/>
    <w:rsid w:val="00C93134"/>
    <w:rsid w:val="00C93C21"/>
    <w:rsid w:val="00C94154"/>
    <w:rsid w:val="00C9448D"/>
    <w:rsid w:val="00C94808"/>
    <w:rsid w:val="00C97532"/>
    <w:rsid w:val="00CA1985"/>
    <w:rsid w:val="00CA5BA3"/>
    <w:rsid w:val="00CB0D4E"/>
    <w:rsid w:val="00CB1EE3"/>
    <w:rsid w:val="00CB4C9E"/>
    <w:rsid w:val="00CC2DF4"/>
    <w:rsid w:val="00CD0AFE"/>
    <w:rsid w:val="00CD123C"/>
    <w:rsid w:val="00CF2B61"/>
    <w:rsid w:val="00CF2C86"/>
    <w:rsid w:val="00D03F42"/>
    <w:rsid w:val="00D0544D"/>
    <w:rsid w:val="00D152FE"/>
    <w:rsid w:val="00D15850"/>
    <w:rsid w:val="00D26917"/>
    <w:rsid w:val="00D269C7"/>
    <w:rsid w:val="00D2737A"/>
    <w:rsid w:val="00D31B43"/>
    <w:rsid w:val="00D36001"/>
    <w:rsid w:val="00D36C88"/>
    <w:rsid w:val="00D37A5F"/>
    <w:rsid w:val="00D414E8"/>
    <w:rsid w:val="00D43271"/>
    <w:rsid w:val="00D5276C"/>
    <w:rsid w:val="00D55699"/>
    <w:rsid w:val="00D613FF"/>
    <w:rsid w:val="00D653AB"/>
    <w:rsid w:val="00D80FAA"/>
    <w:rsid w:val="00D97D05"/>
    <w:rsid w:val="00DB2A2C"/>
    <w:rsid w:val="00DB3D57"/>
    <w:rsid w:val="00DB4B0A"/>
    <w:rsid w:val="00DB4D17"/>
    <w:rsid w:val="00DC5C3C"/>
    <w:rsid w:val="00DD1A3A"/>
    <w:rsid w:val="00DE1CF7"/>
    <w:rsid w:val="00DF4780"/>
    <w:rsid w:val="00E15E8D"/>
    <w:rsid w:val="00E27428"/>
    <w:rsid w:val="00E348BA"/>
    <w:rsid w:val="00E43A27"/>
    <w:rsid w:val="00E56CAA"/>
    <w:rsid w:val="00E62C60"/>
    <w:rsid w:val="00E77D25"/>
    <w:rsid w:val="00E91766"/>
    <w:rsid w:val="00E96010"/>
    <w:rsid w:val="00EA2C1E"/>
    <w:rsid w:val="00EB20D5"/>
    <w:rsid w:val="00EC3B6B"/>
    <w:rsid w:val="00EC68CC"/>
    <w:rsid w:val="00ED0A59"/>
    <w:rsid w:val="00EE05F1"/>
    <w:rsid w:val="00EE1AFC"/>
    <w:rsid w:val="00EE1CBC"/>
    <w:rsid w:val="00EF04C1"/>
    <w:rsid w:val="00EF2D07"/>
    <w:rsid w:val="00F14853"/>
    <w:rsid w:val="00F14E9C"/>
    <w:rsid w:val="00F16CDF"/>
    <w:rsid w:val="00F2085A"/>
    <w:rsid w:val="00F317A9"/>
    <w:rsid w:val="00F32BED"/>
    <w:rsid w:val="00F35E53"/>
    <w:rsid w:val="00F37313"/>
    <w:rsid w:val="00F5528E"/>
    <w:rsid w:val="00F72AC8"/>
    <w:rsid w:val="00F75E62"/>
    <w:rsid w:val="00FA4301"/>
    <w:rsid w:val="00FC532A"/>
    <w:rsid w:val="00FD1351"/>
    <w:rsid w:val="00FD28ED"/>
    <w:rsid w:val="00FD7F2A"/>
    <w:rsid w:val="00FE5899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84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47F8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B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69C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69C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69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6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6C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6C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6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6CD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poplawska@psmm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smm.pl/pl/raporty-specjalne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D\Desktop\pilka%2006.2023\WYKRESY%20Polska%20Pi&#322;ka%20w&#322;a&#347;ciwe%20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D\Desktop\pilka%2006.2023\WYKRESY%20Polska%20Pi&#322;ka%20w&#322;a&#347;ciwe%20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Users\D\Desktop\pilka%2006.2023\WYKRESY%20Polska%20Pi&#322;ka%20w&#322;a&#347;ciwe%20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KM'!$A$4:$A$13</c:f>
              <c:strCache>
                <c:ptCount val="10"/>
                <c:pt idx="0">
                  <c:v>ŁKS Łódź</c:v>
                </c:pt>
                <c:pt idx="1">
                  <c:v>Jagiellonia Białystok</c:v>
                </c:pt>
                <c:pt idx="2">
                  <c:v>Widzew Łódź</c:v>
                </c:pt>
                <c:pt idx="3">
                  <c:v>Pogoń Szczecin</c:v>
                </c:pt>
                <c:pt idx="4">
                  <c:v>Puszcza Niepołomice</c:v>
                </c:pt>
                <c:pt idx="5">
                  <c:v>Ruch Chorzów</c:v>
                </c:pt>
                <c:pt idx="6">
                  <c:v>Raków Częstochowa</c:v>
                </c:pt>
                <c:pt idx="7">
                  <c:v>Śląsk Wrocław</c:v>
                </c:pt>
                <c:pt idx="8">
                  <c:v>Lech Poznań</c:v>
                </c:pt>
                <c:pt idx="9">
                  <c:v>Legia Warszawa</c:v>
                </c:pt>
              </c:strCache>
            </c:strRef>
          </c:cat>
          <c:val>
            <c:numRef>
              <c:f>'Wykresy - KM'!$B$4:$B$13</c:f>
              <c:numCache>
                <c:formatCode>General</c:formatCode>
                <c:ptCount val="10"/>
                <c:pt idx="0">
                  <c:v>1077</c:v>
                </c:pt>
                <c:pt idx="1">
                  <c:v>1093</c:v>
                </c:pt>
                <c:pt idx="2">
                  <c:v>1110</c:v>
                </c:pt>
                <c:pt idx="3">
                  <c:v>1278</c:v>
                </c:pt>
                <c:pt idx="4">
                  <c:v>1337</c:v>
                </c:pt>
                <c:pt idx="5">
                  <c:v>1447</c:v>
                </c:pt>
                <c:pt idx="6">
                  <c:v>1661</c:v>
                </c:pt>
                <c:pt idx="7">
                  <c:v>1870</c:v>
                </c:pt>
                <c:pt idx="8">
                  <c:v>2005</c:v>
                </c:pt>
                <c:pt idx="9">
                  <c:v>2541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8E-4455-8E94-5F9902BB2048}"/>
            </c:ext>
          </c:extLst>
        </c:ser>
        <c:overlap val="100"/>
        <c:axId val="58667008"/>
        <c:axId val="58668928"/>
      </c:barChart>
      <c:catAx>
        <c:axId val="58667008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8668928"/>
        <c:crosses val="autoZero"/>
        <c:auto val="1"/>
        <c:lblAlgn val="ctr"/>
        <c:lblOffset val="100"/>
      </c:catAx>
      <c:valAx>
        <c:axId val="58668928"/>
        <c:scaling>
          <c:orientation val="minMax"/>
          <c:max val="3000"/>
          <c:min val="0"/>
        </c:scaling>
        <c:axPos val="b"/>
        <c:numFmt formatCode="General" sourceLinked="1"/>
        <c:tickLblPos val="nextTo"/>
        <c:crossAx val="58667008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B51047"/>
            </a:solidFill>
            <a:ln>
              <a:noFill/>
            </a:ln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KM'!$A$39:$A$48</c:f>
              <c:strCache>
                <c:ptCount val="10"/>
                <c:pt idx="0">
                  <c:v>Resovia</c:v>
                </c:pt>
                <c:pt idx="1">
                  <c:v>Podbeskidzie Bielsko-Biała</c:v>
                </c:pt>
                <c:pt idx="2">
                  <c:v>Górnik Łęczna</c:v>
                </c:pt>
                <c:pt idx="3">
                  <c:v>Miedź Legnica</c:v>
                </c:pt>
                <c:pt idx="4">
                  <c:v>Arka Gdynia </c:v>
                </c:pt>
                <c:pt idx="5">
                  <c:v>Wisła Płock</c:v>
                </c:pt>
                <c:pt idx="6">
                  <c:v>Bruk-Bet Termalica Nieciecza</c:v>
                </c:pt>
                <c:pt idx="7">
                  <c:v>Stal Rzeszów</c:v>
                </c:pt>
                <c:pt idx="8">
                  <c:v>Lechia Gdańsk</c:v>
                </c:pt>
                <c:pt idx="9">
                  <c:v>Wisła Kraków</c:v>
                </c:pt>
              </c:strCache>
            </c:strRef>
          </c:cat>
          <c:val>
            <c:numRef>
              <c:f>'Wykresy - KM'!$B$39:$B$48</c:f>
              <c:numCache>
                <c:formatCode>General</c:formatCode>
                <c:ptCount val="10"/>
                <c:pt idx="0">
                  <c:v>547</c:v>
                </c:pt>
                <c:pt idx="1">
                  <c:v>570</c:v>
                </c:pt>
                <c:pt idx="2">
                  <c:v>620</c:v>
                </c:pt>
                <c:pt idx="3">
                  <c:v>658</c:v>
                </c:pt>
                <c:pt idx="4">
                  <c:v>709</c:v>
                </c:pt>
                <c:pt idx="5">
                  <c:v>953</c:v>
                </c:pt>
                <c:pt idx="6">
                  <c:v>1040</c:v>
                </c:pt>
                <c:pt idx="7">
                  <c:v>1044</c:v>
                </c:pt>
                <c:pt idx="8">
                  <c:v>1236</c:v>
                </c:pt>
                <c:pt idx="9">
                  <c:v>2417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D5-4753-B402-3104599060FD}"/>
            </c:ext>
          </c:extLst>
        </c:ser>
        <c:gapWidth val="105"/>
        <c:overlap val="100"/>
        <c:axId val="94406144"/>
        <c:axId val="98881920"/>
      </c:barChart>
      <c:catAx>
        <c:axId val="94406144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98881920"/>
        <c:crosses val="autoZero"/>
        <c:auto val="1"/>
        <c:lblAlgn val="ctr"/>
        <c:lblOffset val="100"/>
      </c:catAx>
      <c:valAx>
        <c:axId val="98881920"/>
        <c:scaling>
          <c:orientation val="minMax"/>
          <c:max val="2500"/>
          <c:min val="0"/>
        </c:scaling>
        <c:axPos val="b"/>
        <c:numFmt formatCode="General" sourceLinked="1"/>
        <c:tickLblPos val="nextTo"/>
        <c:crossAx val="94406144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stacked"/>
        <c:ser>
          <c:idx val="0"/>
          <c:order val="0"/>
          <c:spPr>
            <a:solidFill>
              <a:srgbClr val="004365"/>
            </a:solidFill>
            <a:ln>
              <a:noFill/>
            </a:ln>
          </c:spPr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700">
                    <a:solidFill>
                      <a:schemeClr val="bg1"/>
                    </a:solidFill>
                  </a:defRPr>
                </a:pPr>
                <a:endParaRPr lang="pl-PL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'Wykresy - KM'!$A$23:$A$32</c:f>
              <c:strCache>
                <c:ptCount val="10"/>
                <c:pt idx="0">
                  <c:v>Przemysław Frankowski</c:v>
                </c:pt>
                <c:pt idx="1">
                  <c:v>Jakub Kamiński</c:v>
                </c:pt>
                <c:pt idx="2">
                  <c:v>Nicola Zalewski</c:v>
                </c:pt>
                <c:pt idx="3">
                  <c:v>Bartosz Bereszyński</c:v>
                </c:pt>
                <c:pt idx="4">
                  <c:v>Jan Bednarek</c:v>
                </c:pt>
                <c:pt idx="5">
                  <c:v>Jakub Kiwior</c:v>
                </c:pt>
                <c:pt idx="6">
                  <c:v>Wojciech Szczęsny </c:v>
                </c:pt>
                <c:pt idx="7">
                  <c:v>Piotr Zieliński</c:v>
                </c:pt>
                <c:pt idx="8">
                  <c:v>Arkadiusz Milik</c:v>
                </c:pt>
                <c:pt idx="9">
                  <c:v>Robert Lewandowski</c:v>
                </c:pt>
              </c:strCache>
            </c:strRef>
          </c:cat>
          <c:val>
            <c:numRef>
              <c:f>'Wykresy - KM'!$B$23:$B$32</c:f>
              <c:numCache>
                <c:formatCode>General</c:formatCode>
                <c:ptCount val="10"/>
                <c:pt idx="0">
                  <c:v>279</c:v>
                </c:pt>
                <c:pt idx="1">
                  <c:v>302</c:v>
                </c:pt>
                <c:pt idx="2">
                  <c:v>368</c:v>
                </c:pt>
                <c:pt idx="3">
                  <c:v>463</c:v>
                </c:pt>
                <c:pt idx="4">
                  <c:v>521</c:v>
                </c:pt>
                <c:pt idx="5">
                  <c:v>664</c:v>
                </c:pt>
                <c:pt idx="6">
                  <c:v>875</c:v>
                </c:pt>
                <c:pt idx="7">
                  <c:v>919</c:v>
                </c:pt>
                <c:pt idx="8">
                  <c:v>1208</c:v>
                </c:pt>
                <c:pt idx="9">
                  <c:v>2798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A9F-4713-BEF5-7211F40357DF}"/>
            </c:ext>
          </c:extLst>
        </c:ser>
        <c:overlap val="100"/>
        <c:axId val="58369920"/>
        <c:axId val="58371456"/>
      </c:barChart>
      <c:catAx>
        <c:axId val="58369920"/>
        <c:scaling>
          <c:orientation val="minMax"/>
        </c:scaling>
        <c:axPos val="l"/>
        <c:numFmt formatCode="General" sourceLinked="0"/>
        <c:tickLblPos val="nextTo"/>
        <c:txPr>
          <a:bodyPr rot="0" vert="horz"/>
          <a:lstStyle/>
          <a:p>
            <a:pPr>
              <a:defRPr/>
            </a:pPr>
            <a:endParaRPr lang="pl-PL"/>
          </a:p>
        </c:txPr>
        <c:crossAx val="58371456"/>
        <c:crosses val="autoZero"/>
        <c:auto val="1"/>
        <c:lblAlgn val="ctr"/>
        <c:lblOffset val="100"/>
      </c:catAx>
      <c:valAx>
        <c:axId val="58371456"/>
        <c:scaling>
          <c:orientation val="minMax"/>
          <c:max val="3000"/>
          <c:min val="0"/>
        </c:scaling>
        <c:axPos val="b"/>
        <c:numFmt formatCode="General" sourceLinked="1"/>
        <c:tickLblPos val="nextTo"/>
        <c:crossAx val="58369920"/>
        <c:crosses val="autoZero"/>
        <c:crossBetween val="between"/>
      </c:valAx>
    </c:plotArea>
    <c:plotVisOnly val="1"/>
    <c:dispBlanksAs val="zero"/>
  </c:chart>
  <c:spPr>
    <a:ln>
      <a:noFill/>
    </a:ln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pl-PL"/>
    </a:p>
  </c:txPr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0.72124</cdr:x>
      <cdr:y>0.68793</cdr:y>
    </cdr:from>
    <cdr:to>
      <cdr:x>0.95222</cdr:x>
      <cdr:y>0.87149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CE5CB91E-47FF-6CDB-DD4B-06DF32E54BDA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14466" y="2023816"/>
          <a:ext cx="1285653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0.71586</cdr:x>
      <cdr:y>0.68993</cdr:y>
    </cdr:from>
    <cdr:to>
      <cdr:x>0.94661</cdr:x>
      <cdr:y>0.87348</cdr:y>
    </cdr:to>
    <cdr:pic>
      <cdr:nvPicPr>
        <cdr:cNvPr id="3" name="Obraz 2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72B34A5C-83FB-C069-84D8-1014506F35B6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3988496" y="2029803"/>
          <a:ext cx="1285676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0.72023</cdr:x>
      <cdr:y>0.69683</cdr:y>
    </cdr:from>
    <cdr:to>
      <cdr:x>0.95122</cdr:x>
      <cdr:y>0.88038</cdr:y>
    </cdr:to>
    <cdr:pic>
      <cdr:nvPicPr>
        <cdr:cNvPr id="2" name="Obraz 1" descr="Obraz 19">
          <a:extLst xmlns:a="http://schemas.openxmlformats.org/drawingml/2006/main">
            <a:ext uri="{FF2B5EF4-FFF2-40B4-BE49-F238E27FC236}">
              <a16:creationId xmlns="" xmlns:a16="http://schemas.microsoft.com/office/drawing/2014/main" id="{6760A1C0-1828-9DBF-3204-C783790162A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 cstate="print"/>
        <a:stretch xmlns:a="http://schemas.openxmlformats.org/drawingml/2006/main">
          <a:fillRect/>
        </a:stretch>
      </cdr:blipFill>
      <cdr:spPr>
        <a:xfrm xmlns:a="http://schemas.openxmlformats.org/drawingml/2006/main">
          <a:off x="4008830" y="2050107"/>
          <a:ext cx="1285704" cy="5400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 w="12700">
          <a:miter lim="400000"/>
        </a:ln>
      </cdr:spPr>
    </cdr:pic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kpoplawsk</cp:lastModifiedBy>
  <cp:revision>2</cp:revision>
  <dcterms:created xsi:type="dcterms:W3CDTF">2023-07-07T10:14:00Z</dcterms:created>
  <dcterms:modified xsi:type="dcterms:W3CDTF">2023-07-07T10:14:00Z</dcterms:modified>
</cp:coreProperties>
</file>