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7" w:rsidRPr="002100F7" w:rsidRDefault="002100F7" w:rsidP="00247F88">
      <w:pPr>
        <w:jc w:val="right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Poznań, </w:t>
      </w:r>
      <w:r w:rsidR="00CF3BF8">
        <w:rPr>
          <w:rFonts w:ascii="Verdana" w:hAnsi="Verdana"/>
          <w:sz w:val="20"/>
          <w:szCs w:val="20"/>
        </w:rPr>
        <w:t>9</w:t>
      </w:r>
      <w:r w:rsidR="00FE5DC9">
        <w:rPr>
          <w:rFonts w:ascii="Verdana" w:hAnsi="Verdana"/>
          <w:sz w:val="20"/>
          <w:szCs w:val="20"/>
        </w:rPr>
        <w:t xml:space="preserve"> lutego </w:t>
      </w:r>
      <w:r w:rsidR="00B6091A">
        <w:rPr>
          <w:rFonts w:ascii="Verdana" w:hAnsi="Verdana"/>
          <w:sz w:val="20"/>
          <w:szCs w:val="20"/>
        </w:rPr>
        <w:t>202</w:t>
      </w:r>
      <w:r w:rsidR="00BD425A">
        <w:rPr>
          <w:rFonts w:ascii="Verdana" w:hAnsi="Verdana"/>
          <w:sz w:val="20"/>
          <w:szCs w:val="20"/>
        </w:rPr>
        <w:t>3</w:t>
      </w:r>
      <w:r w:rsidR="00461437">
        <w:rPr>
          <w:rFonts w:ascii="Verdana" w:hAnsi="Verdana"/>
          <w:sz w:val="20"/>
          <w:szCs w:val="20"/>
        </w:rPr>
        <w:t xml:space="preserve">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BD425A" w:rsidP="002100F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Legia Warszawa </w:t>
      </w:r>
      <w:r w:rsidR="00FE5DC9">
        <w:rPr>
          <w:rFonts w:ascii="Verdana" w:hAnsi="Verdana"/>
          <w:sz w:val="20"/>
          <w:szCs w:val="20"/>
        </w:rPr>
        <w:t>najbardziej medialna na starcie rundy wiosennej</w:t>
      </w:r>
    </w:p>
    <w:p w:rsidR="00D414E8" w:rsidRDefault="00D414E8" w:rsidP="00D414E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Legia Warszawa także w </w:t>
      </w:r>
      <w:r w:rsidR="005F213B">
        <w:rPr>
          <w:rFonts w:ascii="Verdana" w:hAnsi="Verdana"/>
          <w:b/>
          <w:sz w:val="20"/>
          <w:szCs w:val="20"/>
        </w:rPr>
        <w:t>styczniu</w:t>
      </w:r>
      <w:r>
        <w:rPr>
          <w:rFonts w:ascii="Verdana" w:hAnsi="Verdana"/>
          <w:b/>
          <w:sz w:val="20"/>
          <w:szCs w:val="20"/>
        </w:rPr>
        <w:t xml:space="preserve"> była najbardziej medialnym klubem piłkarskim w Polsce – wynika z analizy PSMM Monitoring &amp; </w:t>
      </w:r>
      <w:proofErr w:type="spellStart"/>
      <w:r>
        <w:rPr>
          <w:rFonts w:ascii="Verdana" w:hAnsi="Verdana"/>
          <w:b/>
          <w:sz w:val="20"/>
          <w:szCs w:val="20"/>
        </w:rPr>
        <w:t>More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r w:rsidR="005F213B">
        <w:rPr>
          <w:rFonts w:ascii="Verdana" w:hAnsi="Verdana"/>
          <w:b/>
          <w:sz w:val="20"/>
          <w:szCs w:val="20"/>
        </w:rPr>
        <w:t xml:space="preserve">To kolejny miesiąc przerwy między rundami, w którym stołeczny klub pokonał wszystkie inne zespoły. </w:t>
      </w:r>
      <w:r>
        <w:rPr>
          <w:rFonts w:ascii="Verdana" w:hAnsi="Verdana"/>
          <w:b/>
          <w:sz w:val="20"/>
          <w:szCs w:val="20"/>
        </w:rPr>
        <w:t xml:space="preserve">Wśród piłkarzy równych sobie po raz kolejny nie miał Robert Lewandowski, choć świetny miesiąc </w:t>
      </w:r>
      <w:r w:rsidR="003F30FD">
        <w:rPr>
          <w:rFonts w:ascii="Verdana" w:hAnsi="Verdana"/>
          <w:b/>
          <w:sz w:val="20"/>
          <w:szCs w:val="20"/>
        </w:rPr>
        <w:t xml:space="preserve">– nie bez powodu - </w:t>
      </w:r>
      <w:r>
        <w:rPr>
          <w:rFonts w:ascii="Verdana" w:hAnsi="Verdana"/>
          <w:b/>
          <w:sz w:val="20"/>
          <w:szCs w:val="20"/>
        </w:rPr>
        <w:t xml:space="preserve">odnotował także </w:t>
      </w:r>
      <w:r w:rsidR="005F213B">
        <w:rPr>
          <w:rFonts w:ascii="Verdana" w:hAnsi="Verdana"/>
          <w:b/>
          <w:sz w:val="20"/>
          <w:szCs w:val="20"/>
        </w:rPr>
        <w:t>Jakub Kiwior</w:t>
      </w:r>
      <w:r>
        <w:rPr>
          <w:rFonts w:ascii="Verdana" w:hAnsi="Verdana"/>
          <w:b/>
          <w:sz w:val="20"/>
          <w:szCs w:val="20"/>
        </w:rPr>
        <w:t>.</w:t>
      </w:r>
    </w:p>
    <w:p w:rsidR="005F213B" w:rsidRDefault="005F213B" w:rsidP="005F213B">
      <w:pPr>
        <w:jc w:val="both"/>
        <w:rPr>
          <w:rFonts w:ascii="Verdana" w:hAnsi="Verdana"/>
          <w:sz w:val="20"/>
          <w:szCs w:val="20"/>
        </w:rPr>
      </w:pPr>
      <w:r w:rsidRPr="00120E44">
        <w:rPr>
          <w:rFonts w:ascii="Verdana" w:hAnsi="Verdana"/>
          <w:sz w:val="20"/>
          <w:szCs w:val="20"/>
        </w:rPr>
        <w:t xml:space="preserve">Styczeń był miesiącem przygotowań do </w:t>
      </w:r>
      <w:r>
        <w:rPr>
          <w:rFonts w:ascii="Verdana" w:hAnsi="Verdana"/>
          <w:sz w:val="20"/>
          <w:szCs w:val="20"/>
        </w:rPr>
        <w:t>wznowienia</w:t>
      </w:r>
      <w:r w:rsidRPr="00120E44">
        <w:rPr>
          <w:rFonts w:ascii="Verdana" w:hAnsi="Verdana"/>
          <w:sz w:val="20"/>
          <w:szCs w:val="20"/>
        </w:rPr>
        <w:t xml:space="preserve"> sezonu oraz </w:t>
      </w:r>
      <w:r>
        <w:rPr>
          <w:rFonts w:ascii="Verdana" w:hAnsi="Verdana"/>
          <w:sz w:val="20"/>
          <w:szCs w:val="20"/>
        </w:rPr>
        <w:t>pierwszej kolejki po zimowej przerwie. W sytuacjach, w których nie mamy do czynienia ze sportowymi emocjami, to właśnie Legia zazwyczaj jest najbardziej popularna w mediach spośród wszystkich klubów PKO BP Ekstraklasy</w:t>
      </w:r>
      <w:r w:rsidR="00CF3BF8">
        <w:rPr>
          <w:rFonts w:ascii="Verdana" w:hAnsi="Verdana"/>
          <w:sz w:val="20"/>
          <w:szCs w:val="20"/>
        </w:rPr>
        <w:t>. Nie inaczej było również i tym razem</w:t>
      </w:r>
      <w:r>
        <w:rPr>
          <w:rFonts w:ascii="Verdana" w:hAnsi="Verdana"/>
          <w:sz w:val="20"/>
          <w:szCs w:val="20"/>
        </w:rPr>
        <w:t xml:space="preserve">, choć klub nie był zamieszany w żadne spektakularne transfery. </w:t>
      </w:r>
    </w:p>
    <w:p w:rsidR="005F213B" w:rsidRDefault="005F213B" w:rsidP="005F21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Lecha Poznań sytuacja wygląda</w:t>
      </w:r>
      <w:r w:rsidR="00CF3BF8">
        <w:rPr>
          <w:rFonts w:ascii="Verdana" w:hAnsi="Verdana"/>
          <w:sz w:val="20"/>
          <w:szCs w:val="20"/>
        </w:rPr>
        <w:t>ła dosyć</w:t>
      </w:r>
      <w:r>
        <w:rPr>
          <w:rFonts w:ascii="Verdana" w:hAnsi="Verdana"/>
          <w:sz w:val="20"/>
          <w:szCs w:val="20"/>
        </w:rPr>
        <w:t xml:space="preserve"> podobnie. W</w:t>
      </w:r>
      <w:r w:rsidR="00CF3BF8">
        <w:rPr>
          <w:rFonts w:ascii="Verdana" w:hAnsi="Verdana"/>
          <w:sz w:val="20"/>
          <w:szCs w:val="20"/>
        </w:rPr>
        <w:t xml:space="preserve"> czasie</w:t>
      </w:r>
      <w:r>
        <w:rPr>
          <w:rFonts w:ascii="Verdana" w:hAnsi="Verdana"/>
          <w:sz w:val="20"/>
          <w:szCs w:val="20"/>
        </w:rPr>
        <w:t xml:space="preserve">, </w:t>
      </w:r>
      <w:r w:rsidR="00CF3BF8">
        <w:rPr>
          <w:rFonts w:ascii="Verdana" w:hAnsi="Verdana"/>
          <w:sz w:val="20"/>
          <w:szCs w:val="20"/>
        </w:rPr>
        <w:t xml:space="preserve">gdy </w:t>
      </w:r>
      <w:r>
        <w:rPr>
          <w:rFonts w:ascii="Verdana" w:hAnsi="Verdana"/>
          <w:sz w:val="20"/>
          <w:szCs w:val="20"/>
        </w:rPr>
        <w:t>dziennikarze skupiają się na przygotowaniach zespołów i potencjalnych transferach, to zazwyczaj drugi najbardziej medialny klub w Polsce. W styczniu „</w:t>
      </w:r>
      <w:proofErr w:type="spellStart"/>
      <w:r>
        <w:rPr>
          <w:rFonts w:ascii="Verdana" w:hAnsi="Verdana"/>
          <w:sz w:val="20"/>
          <w:szCs w:val="20"/>
        </w:rPr>
        <w:t>Kolejorz</w:t>
      </w:r>
      <w:proofErr w:type="spellEnd"/>
      <w:r>
        <w:rPr>
          <w:rFonts w:ascii="Verdana" w:hAnsi="Verdana"/>
          <w:sz w:val="20"/>
          <w:szCs w:val="20"/>
        </w:rPr>
        <w:t xml:space="preserve">” wyróżniał się na tle rywali zgrupowaniem przygotowawczym w Dubaju, gdzie poleciał jako jedyny polski zespół.  </w:t>
      </w:r>
    </w:p>
    <w:p w:rsidR="005F213B" w:rsidRDefault="009344CD" w:rsidP="00FD7F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Trzecie miejsce </w:t>
      </w:r>
      <w:r w:rsidR="005F213B">
        <w:rPr>
          <w:rFonts w:ascii="Verdana" w:hAnsi="Verdana"/>
          <w:sz w:val="20"/>
          <w:szCs w:val="20"/>
        </w:rPr>
        <w:t>dość niespodziewanie zajęła Pogoń Szczecin, która w styczniu była dość aktywn</w:t>
      </w:r>
      <w:r w:rsidR="00CF3BF8">
        <w:rPr>
          <w:rFonts w:ascii="Verdana" w:hAnsi="Verdana"/>
          <w:sz w:val="20"/>
          <w:szCs w:val="20"/>
        </w:rPr>
        <w:t>a na rynku transferowym. D</w:t>
      </w:r>
      <w:r w:rsidR="005F213B">
        <w:rPr>
          <w:rFonts w:ascii="Verdana" w:hAnsi="Verdana"/>
          <w:sz w:val="20"/>
          <w:szCs w:val="20"/>
        </w:rPr>
        <w:t xml:space="preserve">zięki temu udało jej się wyprzedzić Śląsk Wrocław, który zazwyczaj jest trzecią siłą ligi pod względem medialności. W czołowej szóstce znalazły się jeszcze Raków Częstochowa i Widzew Łódź. Aktualny lider PKO BP Ekstraklasy w ostatnich miesiącach znacząco poprawił swoją widoczność w mediach, na co wpływ mają oczywiście świetne wyniki sportowe. </w:t>
      </w:r>
    </w:p>
    <w:p w:rsidR="007A0BBE" w:rsidRDefault="005F213B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566067" cy="2941883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3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00F7" w:rsidRPr="00CF3BF8" w:rsidRDefault="002100F7" w:rsidP="002100F7">
      <w:pPr>
        <w:jc w:val="both"/>
        <w:rPr>
          <w:rFonts w:ascii="Verdana" w:hAnsi="Verdana" w:cs="Tahoma"/>
          <w:b/>
          <w:sz w:val="16"/>
          <w:szCs w:val="16"/>
        </w:rPr>
      </w:pPr>
      <w:r w:rsidRPr="00CF3BF8">
        <w:rPr>
          <w:rFonts w:ascii="Verdana" w:hAnsi="Verdana" w:cs="Tahoma"/>
          <w:b/>
          <w:sz w:val="16"/>
          <w:szCs w:val="16"/>
        </w:rPr>
        <w:t>Wykres 1. TOP 10 najbardziej medial</w:t>
      </w:r>
      <w:r w:rsidR="00ED0A59" w:rsidRPr="00CF3BF8">
        <w:rPr>
          <w:rFonts w:ascii="Verdana" w:hAnsi="Verdana" w:cs="Tahoma"/>
          <w:b/>
          <w:sz w:val="16"/>
          <w:szCs w:val="16"/>
        </w:rPr>
        <w:t>n</w:t>
      </w:r>
      <w:r w:rsidR="008525CD" w:rsidRPr="00CF3BF8">
        <w:rPr>
          <w:rFonts w:ascii="Verdana" w:hAnsi="Verdana" w:cs="Tahoma"/>
          <w:b/>
          <w:sz w:val="16"/>
          <w:szCs w:val="16"/>
        </w:rPr>
        <w:t xml:space="preserve">ych drużyn LOTTO Ekstraklasy </w:t>
      </w:r>
      <w:r w:rsidR="00456C5A" w:rsidRPr="00CF3BF8">
        <w:rPr>
          <w:rFonts w:ascii="Verdana" w:hAnsi="Verdana" w:cs="Tahoma"/>
          <w:b/>
          <w:sz w:val="16"/>
          <w:szCs w:val="16"/>
        </w:rPr>
        <w:t xml:space="preserve">w </w:t>
      </w:r>
      <w:r w:rsidR="005F213B" w:rsidRPr="00CF3BF8">
        <w:rPr>
          <w:rFonts w:ascii="Verdana" w:hAnsi="Verdana" w:cs="Tahoma"/>
          <w:b/>
          <w:sz w:val="16"/>
          <w:szCs w:val="16"/>
        </w:rPr>
        <w:t xml:space="preserve">styczniu 2023 </w:t>
      </w:r>
      <w:r w:rsidRPr="00CF3BF8">
        <w:rPr>
          <w:rFonts w:ascii="Verdana" w:hAnsi="Verdana" w:cs="Tahoma"/>
          <w:b/>
          <w:sz w:val="16"/>
          <w:szCs w:val="16"/>
        </w:rPr>
        <w:t>(prasa i wybrane strony internetowe)</w:t>
      </w:r>
    </w:p>
    <w:p w:rsidR="00E15E8D" w:rsidRDefault="0079567E" w:rsidP="005044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</w:t>
      </w:r>
      <w:r w:rsidR="008B751E">
        <w:rPr>
          <w:rFonts w:ascii="Verdana" w:hAnsi="Verdana"/>
          <w:sz w:val="20"/>
          <w:szCs w:val="20"/>
        </w:rPr>
        <w:t>Fortuna I li</w:t>
      </w:r>
      <w:r w:rsidR="00C75C75">
        <w:rPr>
          <w:rFonts w:ascii="Verdana" w:hAnsi="Verdana"/>
          <w:sz w:val="20"/>
          <w:szCs w:val="20"/>
        </w:rPr>
        <w:t xml:space="preserve">dze także nie doszło do sensacji, choć </w:t>
      </w:r>
      <w:r w:rsidR="00CF3BF8">
        <w:rPr>
          <w:rFonts w:ascii="Verdana" w:hAnsi="Verdana"/>
          <w:sz w:val="20"/>
          <w:szCs w:val="20"/>
        </w:rPr>
        <w:t xml:space="preserve">następny </w:t>
      </w:r>
      <w:r w:rsidR="005F213B">
        <w:rPr>
          <w:rFonts w:ascii="Verdana" w:hAnsi="Verdana"/>
          <w:sz w:val="20"/>
          <w:szCs w:val="20"/>
        </w:rPr>
        <w:t>miesiąc bez</w:t>
      </w:r>
      <w:r w:rsidR="00C75C75">
        <w:rPr>
          <w:rFonts w:ascii="Verdana" w:hAnsi="Verdana"/>
          <w:sz w:val="20"/>
          <w:szCs w:val="20"/>
        </w:rPr>
        <w:t xml:space="preserve"> rozgrywek</w:t>
      </w:r>
      <w:r w:rsidR="005F213B">
        <w:rPr>
          <w:rFonts w:ascii="Verdana" w:hAnsi="Verdana"/>
          <w:sz w:val="20"/>
          <w:szCs w:val="20"/>
        </w:rPr>
        <w:t xml:space="preserve"> ponownie pokazał różnice między potencjałem zespołów.</w:t>
      </w:r>
      <w:r w:rsidR="00E15E8D">
        <w:rPr>
          <w:rFonts w:ascii="Verdana" w:hAnsi="Verdana"/>
          <w:sz w:val="20"/>
          <w:szCs w:val="20"/>
        </w:rPr>
        <w:t xml:space="preserve"> Rywali po raz kolejny</w:t>
      </w:r>
      <w:r w:rsidR="00CF3BF8">
        <w:rPr>
          <w:rFonts w:ascii="Verdana" w:hAnsi="Verdana"/>
          <w:sz w:val="20"/>
          <w:szCs w:val="20"/>
        </w:rPr>
        <w:t xml:space="preserve"> zdeklasowała Wisła Kraków, ale</w:t>
      </w:r>
      <w:r w:rsidR="00E15E8D">
        <w:rPr>
          <w:rFonts w:ascii="Verdana" w:hAnsi="Verdana"/>
          <w:sz w:val="20"/>
          <w:szCs w:val="20"/>
        </w:rPr>
        <w:t xml:space="preserve"> Ruch Chorzów także może pochwalić się świetnym wynikiem. Na podium dość niespodziewanie znalazła się </w:t>
      </w:r>
      <w:proofErr w:type="spellStart"/>
      <w:r w:rsidR="00E15E8D">
        <w:rPr>
          <w:rFonts w:ascii="Verdana" w:hAnsi="Verdana"/>
          <w:sz w:val="20"/>
          <w:szCs w:val="20"/>
        </w:rPr>
        <w:t>Resovia</w:t>
      </w:r>
      <w:proofErr w:type="spellEnd"/>
      <w:r w:rsidR="00E15E8D">
        <w:rPr>
          <w:rFonts w:ascii="Verdana" w:hAnsi="Verdana"/>
          <w:sz w:val="20"/>
          <w:szCs w:val="20"/>
        </w:rPr>
        <w:t xml:space="preserve">, której sporo wzmianek w mediach przysporzył transfer Bartosza Kwietnia do Korony Kielce. Czołową szóstkę uzupełniły ŁKS, Zagłębie Sosnowiec oraz Górnik Łęczna. </w:t>
      </w:r>
    </w:p>
    <w:p w:rsidR="00C23ED8" w:rsidRPr="002100F7" w:rsidRDefault="005044DE" w:rsidP="005044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F213B">
        <w:rPr>
          <w:noProof/>
          <w:lang w:eastAsia="pl-PL"/>
        </w:rPr>
        <w:drawing>
          <wp:inline distT="0" distB="0" distL="0" distR="0">
            <wp:extent cx="5571649" cy="2942033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33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7F88" w:rsidRPr="00CF3BF8" w:rsidRDefault="00247F88" w:rsidP="002100F7">
      <w:pPr>
        <w:jc w:val="both"/>
        <w:rPr>
          <w:rFonts w:ascii="Verdana" w:hAnsi="Verdana" w:cs="Tahoma"/>
          <w:b/>
          <w:sz w:val="16"/>
          <w:szCs w:val="16"/>
        </w:rPr>
      </w:pPr>
      <w:r w:rsidRPr="00CF3BF8">
        <w:rPr>
          <w:rFonts w:ascii="Verdana" w:hAnsi="Verdana" w:cs="Tahoma"/>
          <w:b/>
          <w:sz w:val="16"/>
          <w:szCs w:val="16"/>
        </w:rPr>
        <w:t xml:space="preserve">Wykres </w:t>
      </w:r>
      <w:r w:rsidR="009B4EFD" w:rsidRPr="00CF3BF8">
        <w:rPr>
          <w:rFonts w:ascii="Verdana" w:hAnsi="Verdana" w:cs="Tahoma"/>
          <w:b/>
          <w:sz w:val="16"/>
          <w:szCs w:val="16"/>
        </w:rPr>
        <w:t>2</w:t>
      </w:r>
      <w:r w:rsidRPr="00CF3BF8">
        <w:rPr>
          <w:rFonts w:ascii="Verdana" w:hAnsi="Verdana" w:cs="Tahoma"/>
          <w:b/>
          <w:sz w:val="16"/>
          <w:szCs w:val="16"/>
        </w:rPr>
        <w:t xml:space="preserve">. TOP 10 najbardziej medialnych drużyn </w:t>
      </w:r>
      <w:r w:rsidR="003D50BD" w:rsidRPr="00CF3BF8">
        <w:rPr>
          <w:rFonts w:ascii="Verdana" w:hAnsi="Verdana" w:cs="Tahoma"/>
          <w:b/>
          <w:sz w:val="16"/>
          <w:szCs w:val="16"/>
        </w:rPr>
        <w:t>Fortuny</w:t>
      </w:r>
      <w:r w:rsidRPr="00CF3BF8">
        <w:rPr>
          <w:rFonts w:ascii="Verdana" w:hAnsi="Verdana" w:cs="Tahoma"/>
          <w:b/>
          <w:sz w:val="16"/>
          <w:szCs w:val="16"/>
        </w:rPr>
        <w:t xml:space="preserve"> 1. ligi w</w:t>
      </w:r>
      <w:r w:rsidR="005A2972" w:rsidRPr="00CF3BF8">
        <w:rPr>
          <w:rFonts w:ascii="Verdana" w:hAnsi="Verdana" w:cs="Tahoma"/>
          <w:b/>
          <w:sz w:val="16"/>
          <w:szCs w:val="16"/>
        </w:rPr>
        <w:t xml:space="preserve"> </w:t>
      </w:r>
      <w:r w:rsidR="005F213B" w:rsidRPr="00CF3BF8">
        <w:rPr>
          <w:rFonts w:ascii="Verdana" w:hAnsi="Verdana" w:cs="Tahoma"/>
          <w:b/>
          <w:sz w:val="16"/>
          <w:szCs w:val="16"/>
        </w:rPr>
        <w:t>styczniu</w:t>
      </w:r>
      <w:r w:rsidR="007E2140" w:rsidRPr="00CF3BF8">
        <w:rPr>
          <w:rFonts w:ascii="Verdana" w:hAnsi="Verdana" w:cs="Tahoma"/>
          <w:b/>
          <w:sz w:val="16"/>
          <w:szCs w:val="16"/>
        </w:rPr>
        <w:t xml:space="preserve"> </w:t>
      </w:r>
      <w:r w:rsidR="00323667" w:rsidRPr="00CF3BF8">
        <w:rPr>
          <w:rFonts w:ascii="Verdana" w:hAnsi="Verdana" w:cs="Tahoma"/>
          <w:b/>
          <w:sz w:val="16"/>
          <w:szCs w:val="16"/>
        </w:rPr>
        <w:t>202</w:t>
      </w:r>
      <w:r w:rsidR="005F213B" w:rsidRPr="00CF3BF8">
        <w:rPr>
          <w:rFonts w:ascii="Verdana" w:hAnsi="Verdana" w:cs="Tahoma"/>
          <w:b/>
          <w:sz w:val="16"/>
          <w:szCs w:val="16"/>
        </w:rPr>
        <w:t>3</w:t>
      </w:r>
      <w:r w:rsidR="00341340" w:rsidRPr="00CF3BF8">
        <w:rPr>
          <w:rFonts w:ascii="Verdana" w:hAnsi="Verdana" w:cs="Tahoma"/>
          <w:b/>
          <w:sz w:val="16"/>
          <w:szCs w:val="16"/>
        </w:rPr>
        <w:t xml:space="preserve"> </w:t>
      </w:r>
      <w:r w:rsidRPr="00CF3BF8">
        <w:rPr>
          <w:rFonts w:ascii="Verdana" w:hAnsi="Verdana" w:cs="Tahoma"/>
          <w:b/>
          <w:sz w:val="16"/>
          <w:szCs w:val="16"/>
        </w:rPr>
        <w:t>(prasa i wybrane strony internetowe)</w:t>
      </w:r>
    </w:p>
    <w:p w:rsidR="00E15E8D" w:rsidRDefault="00E15E8D" w:rsidP="00E15E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Wśród polskich piłk</w:t>
      </w:r>
      <w:r w:rsidRPr="00D653AB">
        <w:rPr>
          <w:rFonts w:ascii="Verdana" w:hAnsi="Verdana"/>
          <w:sz w:val="20"/>
          <w:szCs w:val="20"/>
        </w:rPr>
        <w:t xml:space="preserve">arzy </w:t>
      </w:r>
      <w:r>
        <w:rPr>
          <w:rFonts w:ascii="Verdana" w:hAnsi="Verdana"/>
          <w:sz w:val="20"/>
          <w:szCs w:val="20"/>
        </w:rPr>
        <w:t>będących zawodnikami klubów jednej z</w:t>
      </w:r>
      <w:r w:rsidRPr="00D653AB">
        <w:rPr>
          <w:rFonts w:ascii="Verdana" w:hAnsi="Verdana"/>
          <w:sz w:val="20"/>
          <w:szCs w:val="20"/>
        </w:rPr>
        <w:t xml:space="preserve"> pięciu najs</w:t>
      </w:r>
      <w:r>
        <w:rPr>
          <w:rFonts w:ascii="Verdana" w:hAnsi="Verdana"/>
          <w:sz w:val="20"/>
          <w:szCs w:val="20"/>
        </w:rPr>
        <w:t xml:space="preserve">ilniejszych europejskich lig, po raz kolejny równych sobie nie miał Robert Lewandowski. Na drugim miejscu znalazł się Wojciech Szczęsny, a na trzecim Jakub Kiwior. O niespodziance nie może być jednak mowy – transfer Polaka do </w:t>
      </w:r>
      <w:proofErr w:type="spellStart"/>
      <w:r>
        <w:rPr>
          <w:rFonts w:ascii="Verdana" w:hAnsi="Verdana"/>
          <w:sz w:val="20"/>
          <w:szCs w:val="20"/>
        </w:rPr>
        <w:t>Arsenalu</w:t>
      </w:r>
      <w:proofErr w:type="spellEnd"/>
      <w:r>
        <w:rPr>
          <w:rFonts w:ascii="Verdana" w:hAnsi="Verdana"/>
          <w:sz w:val="20"/>
          <w:szCs w:val="20"/>
        </w:rPr>
        <w:t xml:space="preserve"> rozgrzał polskie media i sprawił, że młody obrońca okazał się bardziej medialny od Piotra Zielińskiego czy Arkadiusza Milika. Czołową szóstkę uzupełnił Bartosz Bereszyński, który z kolei dość niespodziewanie został wypożyczony do </w:t>
      </w:r>
      <w:proofErr w:type="spellStart"/>
      <w:r>
        <w:rPr>
          <w:rFonts w:ascii="Verdana" w:hAnsi="Verdana"/>
          <w:sz w:val="20"/>
          <w:szCs w:val="20"/>
        </w:rPr>
        <w:t>Napoli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5D5DD0" w:rsidRDefault="00C87AF6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5F213B">
        <w:rPr>
          <w:noProof/>
          <w:lang w:eastAsia="pl-PL"/>
        </w:rPr>
        <w:drawing>
          <wp:inline distT="0" distB="0" distL="0" distR="0">
            <wp:extent cx="5566067" cy="2942033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3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F88" w:rsidRDefault="00247F88" w:rsidP="00EC3B6B">
      <w:pPr>
        <w:jc w:val="both"/>
        <w:rPr>
          <w:rFonts w:ascii="Verdana" w:hAnsi="Verdana" w:cs="Tahoma"/>
          <w:b/>
          <w:sz w:val="16"/>
          <w:szCs w:val="16"/>
        </w:rPr>
      </w:pPr>
      <w:r w:rsidRPr="00CF3BF8">
        <w:rPr>
          <w:rFonts w:ascii="Verdana" w:hAnsi="Verdana" w:cs="Tahoma"/>
          <w:b/>
          <w:sz w:val="16"/>
          <w:szCs w:val="16"/>
        </w:rPr>
        <w:t xml:space="preserve">Wykres </w:t>
      </w:r>
      <w:r w:rsidR="009B4EFD" w:rsidRPr="00CF3BF8">
        <w:rPr>
          <w:rFonts w:ascii="Verdana" w:hAnsi="Verdana" w:cs="Tahoma"/>
          <w:b/>
          <w:sz w:val="16"/>
          <w:szCs w:val="16"/>
        </w:rPr>
        <w:t>3</w:t>
      </w:r>
      <w:r w:rsidRPr="00CF3BF8">
        <w:rPr>
          <w:rFonts w:ascii="Verdana" w:hAnsi="Verdana" w:cs="Tahoma"/>
          <w:b/>
          <w:sz w:val="16"/>
          <w:szCs w:val="16"/>
        </w:rPr>
        <w:t>. TOP 10 najbardziej medialnych polskich piłkarzy występujących w pięciu najmoc</w:t>
      </w:r>
      <w:r w:rsidR="00ED0A59" w:rsidRPr="00CF3BF8">
        <w:rPr>
          <w:rFonts w:ascii="Verdana" w:hAnsi="Verdana" w:cs="Tahoma"/>
          <w:b/>
          <w:sz w:val="16"/>
          <w:szCs w:val="16"/>
        </w:rPr>
        <w:t>n</w:t>
      </w:r>
      <w:r w:rsidR="00BF7364" w:rsidRPr="00CF3BF8">
        <w:rPr>
          <w:rFonts w:ascii="Verdana" w:hAnsi="Verdana" w:cs="Tahoma"/>
          <w:b/>
          <w:sz w:val="16"/>
          <w:szCs w:val="16"/>
        </w:rPr>
        <w:t xml:space="preserve">iejszych ligach europejskich w </w:t>
      </w:r>
      <w:r w:rsidR="005F213B" w:rsidRPr="00CF3BF8">
        <w:rPr>
          <w:rFonts w:ascii="Verdana" w:hAnsi="Verdana" w:cs="Tahoma"/>
          <w:b/>
          <w:sz w:val="16"/>
          <w:szCs w:val="16"/>
        </w:rPr>
        <w:t>styczniu</w:t>
      </w:r>
      <w:r w:rsidR="00BF7364" w:rsidRPr="00CF3BF8">
        <w:rPr>
          <w:rFonts w:ascii="Verdana" w:hAnsi="Verdana" w:cs="Tahoma"/>
          <w:b/>
          <w:sz w:val="16"/>
          <w:szCs w:val="16"/>
        </w:rPr>
        <w:t xml:space="preserve"> </w:t>
      </w:r>
      <w:r w:rsidR="00323667" w:rsidRPr="00CF3BF8">
        <w:rPr>
          <w:rFonts w:ascii="Verdana" w:hAnsi="Verdana" w:cs="Tahoma"/>
          <w:b/>
          <w:sz w:val="16"/>
          <w:szCs w:val="16"/>
        </w:rPr>
        <w:t>202</w:t>
      </w:r>
      <w:r w:rsidR="005F213B" w:rsidRPr="00CF3BF8">
        <w:rPr>
          <w:rFonts w:ascii="Verdana" w:hAnsi="Verdana" w:cs="Tahoma"/>
          <w:b/>
          <w:sz w:val="16"/>
          <w:szCs w:val="16"/>
        </w:rPr>
        <w:t>3</w:t>
      </w:r>
      <w:r w:rsidR="003E182D" w:rsidRPr="00CF3BF8">
        <w:rPr>
          <w:rFonts w:ascii="Verdana" w:hAnsi="Verdana" w:cs="Tahoma"/>
          <w:b/>
          <w:sz w:val="16"/>
          <w:szCs w:val="16"/>
        </w:rPr>
        <w:t xml:space="preserve"> </w:t>
      </w:r>
      <w:r w:rsidRPr="00CF3BF8">
        <w:rPr>
          <w:rFonts w:ascii="Verdana" w:hAnsi="Verdana" w:cs="Tahoma"/>
          <w:b/>
          <w:sz w:val="16"/>
          <w:szCs w:val="16"/>
        </w:rPr>
        <w:t>(prasa i wybrane strony internetowe)</w:t>
      </w:r>
    </w:p>
    <w:p w:rsidR="00CF3BF8" w:rsidRDefault="00CF3BF8" w:rsidP="00EC3B6B">
      <w:pPr>
        <w:jc w:val="both"/>
        <w:rPr>
          <w:rFonts w:ascii="Verdana" w:hAnsi="Verdana" w:cs="Tahoma"/>
          <w:b/>
          <w:sz w:val="16"/>
          <w:szCs w:val="16"/>
        </w:rPr>
      </w:pPr>
    </w:p>
    <w:p w:rsidR="00CF3BF8" w:rsidRPr="00CF3BF8" w:rsidRDefault="00CF3BF8" w:rsidP="00EC3B6B">
      <w:pPr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------------------------------------------------------------------------------------------</w:t>
      </w:r>
    </w:p>
    <w:p w:rsidR="0001617E" w:rsidRPr="00247F88" w:rsidRDefault="0001617E" w:rsidP="0001617E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</w:t>
      </w:r>
      <w:r w:rsidR="00CF3BF8">
        <w:rPr>
          <w:rFonts w:ascii="Verdana" w:hAnsi="Verdana"/>
          <w:sz w:val="20"/>
          <w:szCs w:val="20"/>
        </w:rPr>
        <w:t>PSMM Monitoring &amp; More od</w:t>
      </w:r>
      <w:r>
        <w:rPr>
          <w:rFonts w:ascii="Verdana" w:hAnsi="Verdana"/>
          <w:sz w:val="20"/>
          <w:szCs w:val="20"/>
        </w:rPr>
        <w:t xml:space="preserve"> </w:t>
      </w:r>
      <w:r w:rsidR="00CF3BF8" w:rsidRPr="00247F88">
        <w:rPr>
          <w:rFonts w:ascii="Verdana" w:hAnsi="Verdana"/>
          <w:sz w:val="20"/>
          <w:szCs w:val="20"/>
        </w:rPr>
        <w:t>1 marca 2010 roku.</w:t>
      </w:r>
      <w:r w:rsidR="00CF3B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Pr="00247F88">
        <w:rPr>
          <w:rFonts w:ascii="Verdana" w:hAnsi="Verdana"/>
          <w:sz w:val="20"/>
          <w:szCs w:val="20"/>
        </w:rPr>
        <w:t xml:space="preserve">względnia medialność klubów Ekstraklasy, 1. ligi oraz polskich piłkarzy występujących w Premier </w:t>
      </w:r>
      <w:proofErr w:type="spellStart"/>
      <w:r w:rsidRPr="00247F88">
        <w:rPr>
          <w:rFonts w:ascii="Verdana" w:hAnsi="Verdana"/>
          <w:sz w:val="20"/>
          <w:szCs w:val="20"/>
        </w:rPr>
        <w:t>League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Primera</w:t>
      </w:r>
      <w:proofErr w:type="spellEnd"/>
      <w:r w:rsidRPr="00247F88">
        <w:rPr>
          <w:rFonts w:ascii="Verdana" w:hAnsi="Verdana"/>
          <w:sz w:val="20"/>
          <w:szCs w:val="20"/>
        </w:rPr>
        <w:t xml:space="preserve"> </w:t>
      </w:r>
      <w:proofErr w:type="spellStart"/>
      <w:r w:rsidRPr="00247F88">
        <w:rPr>
          <w:rFonts w:ascii="Verdana" w:hAnsi="Verdana"/>
          <w:sz w:val="20"/>
          <w:szCs w:val="20"/>
        </w:rPr>
        <w:t>Division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Ligue</w:t>
      </w:r>
      <w:proofErr w:type="spellEnd"/>
      <w:r w:rsidRPr="00247F88">
        <w:rPr>
          <w:rFonts w:ascii="Verdana" w:hAnsi="Verdana"/>
          <w:sz w:val="20"/>
          <w:szCs w:val="20"/>
        </w:rPr>
        <w:t xml:space="preserve"> 1, Serie A i pierwszej Bundeslidze. Proces analizy obejmuje ponad 1100 tytułów prasowych i wybrane strony internetowe. Ponadto analitycy sprawdzają popularność klubów Ekstraklasy w mediach społecznościowych (Facebook.com, Twitter.com, Youtube.com</w:t>
      </w:r>
      <w:r>
        <w:rPr>
          <w:rFonts w:ascii="Verdana" w:hAnsi="Verdana"/>
          <w:sz w:val="20"/>
          <w:szCs w:val="20"/>
        </w:rPr>
        <w:t>, Instagram.com, Wykop.pl</w:t>
      </w:r>
      <w:r w:rsidR="00CF3BF8">
        <w:rPr>
          <w:rFonts w:ascii="Verdana" w:hAnsi="Verdana"/>
          <w:sz w:val="20"/>
          <w:szCs w:val="20"/>
        </w:rPr>
        <w:t>)</w:t>
      </w:r>
      <w:r w:rsidRPr="00247F88">
        <w:rPr>
          <w:rFonts w:ascii="Verdana" w:hAnsi="Verdana"/>
          <w:sz w:val="20"/>
          <w:szCs w:val="20"/>
        </w:rPr>
        <w:t xml:space="preserve">. </w:t>
      </w:r>
    </w:p>
    <w:p w:rsidR="0001617E" w:rsidRPr="00247F88" w:rsidRDefault="0001617E" w:rsidP="000161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PSMM Monitoring &amp; More</w:t>
      </w:r>
      <w:r w:rsidRPr="00247F88">
        <w:rPr>
          <w:rFonts w:ascii="Verdana" w:hAnsi="Verdana"/>
          <w:i/>
          <w:sz w:val="20"/>
          <w:szCs w:val="20"/>
        </w:rPr>
        <w:t xml:space="preserve"> wyraża zgodę na pełną lub częściową publikację materiałów pod warunkiem podania źródła (pełna nazwa firmy: </w:t>
      </w:r>
      <w:r>
        <w:rPr>
          <w:rFonts w:ascii="Verdana" w:hAnsi="Verdana"/>
          <w:i/>
          <w:sz w:val="20"/>
          <w:szCs w:val="20"/>
        </w:rPr>
        <w:t>PSMM Monitoring &amp; More</w:t>
      </w:r>
      <w:r w:rsidRPr="00247F88">
        <w:rPr>
          <w:rFonts w:ascii="Verdana" w:hAnsi="Verdana"/>
          <w:i/>
          <w:sz w:val="20"/>
          <w:szCs w:val="20"/>
        </w:rPr>
        <w:t>). W przypadku wykorzystania grafik należy wskazać źródło (nazwę firmy lub logotyp) przy każdym wykresie.</w:t>
      </w:r>
    </w:p>
    <w:p w:rsidR="0001617E" w:rsidRPr="00EC3B6B" w:rsidRDefault="0001617E" w:rsidP="0001617E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9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01617E" w:rsidRDefault="0001617E" w:rsidP="0001617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Osoba do kontaktu:</w:t>
      </w:r>
    </w:p>
    <w:p w:rsidR="0001617E" w:rsidRDefault="0001617E" w:rsidP="0001617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Katarzyna Popławska</w:t>
      </w:r>
      <w:r>
        <w:rPr>
          <w:rFonts w:ascii="Verdana" w:hAnsi="Verdana"/>
          <w:sz w:val="20"/>
          <w:szCs w:val="20"/>
        </w:rPr>
        <w:br/>
        <w:t>Kierownik Działu Marketingu i PR</w:t>
      </w:r>
      <w:r>
        <w:rPr>
          <w:rFonts w:ascii="Verdana" w:hAnsi="Verdana"/>
          <w:sz w:val="20"/>
          <w:szCs w:val="20"/>
        </w:rPr>
        <w:br/>
        <w:t>kom: +48 697 410 680</w:t>
      </w:r>
      <w:r>
        <w:rPr>
          <w:rFonts w:ascii="Verdana" w:hAnsi="Verdana"/>
          <w:sz w:val="20"/>
          <w:szCs w:val="20"/>
        </w:rPr>
        <w:br/>
      </w:r>
      <w:hyperlink r:id="rId10" w:history="1">
        <w:r w:rsidRPr="00FD0AC7">
          <w:rPr>
            <w:rStyle w:val="Hipercze"/>
            <w:rFonts w:ascii="Verdana" w:hAnsi="Verdana"/>
            <w:sz w:val="20"/>
            <w:szCs w:val="20"/>
          </w:rPr>
          <w:t>kpoplawska@psmm.pl</w:t>
        </w:r>
      </w:hyperlink>
    </w:p>
    <w:p w:rsidR="0001617E" w:rsidRPr="00247F88" w:rsidRDefault="0001617E" w:rsidP="0001617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PSMM Monitoring &amp; More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2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4" w:history="1">
        <w:r>
          <w:rPr>
            <w:rStyle w:val="Hipercze"/>
            <w:rFonts w:ascii="Verdana" w:hAnsi="Verdana"/>
            <w:sz w:val="20"/>
            <w:szCs w:val="20"/>
          </w:rPr>
          <w:t>www.youtube.com/PSMMonitoring</w:t>
        </w:r>
      </w:hyperlink>
    </w:p>
    <w:p w:rsidR="00247F88" w:rsidRPr="00247F88" w:rsidRDefault="00247F88" w:rsidP="0001617E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</w:p>
    <w:sectPr w:rsidR="00247F88" w:rsidRPr="00247F88" w:rsidSect="00F7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03" w:rsidRDefault="00643103" w:rsidP="00D269C7">
      <w:pPr>
        <w:spacing w:after="0" w:line="240" w:lineRule="auto"/>
      </w:pPr>
      <w:r>
        <w:separator/>
      </w:r>
    </w:p>
  </w:endnote>
  <w:endnote w:type="continuationSeparator" w:id="0">
    <w:p w:rsidR="00643103" w:rsidRDefault="00643103" w:rsidP="00D2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03" w:rsidRDefault="00643103" w:rsidP="00D269C7">
      <w:pPr>
        <w:spacing w:after="0" w:line="240" w:lineRule="auto"/>
      </w:pPr>
      <w:r>
        <w:separator/>
      </w:r>
    </w:p>
  </w:footnote>
  <w:footnote w:type="continuationSeparator" w:id="0">
    <w:p w:rsidR="00643103" w:rsidRDefault="00643103" w:rsidP="00D2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84A"/>
    <w:rsid w:val="000063C0"/>
    <w:rsid w:val="00015F39"/>
    <w:rsid w:val="0001617E"/>
    <w:rsid w:val="00020614"/>
    <w:rsid w:val="00020DC0"/>
    <w:rsid w:val="00022A3D"/>
    <w:rsid w:val="00036FF5"/>
    <w:rsid w:val="000534F9"/>
    <w:rsid w:val="0006396B"/>
    <w:rsid w:val="00070C18"/>
    <w:rsid w:val="00074E58"/>
    <w:rsid w:val="00075062"/>
    <w:rsid w:val="000945AD"/>
    <w:rsid w:val="00094EF6"/>
    <w:rsid w:val="000A1BF2"/>
    <w:rsid w:val="000A4D19"/>
    <w:rsid w:val="000B24C0"/>
    <w:rsid w:val="000E3B9E"/>
    <w:rsid w:val="001019F2"/>
    <w:rsid w:val="00104FED"/>
    <w:rsid w:val="001064EA"/>
    <w:rsid w:val="00110FCF"/>
    <w:rsid w:val="00114B6F"/>
    <w:rsid w:val="00120E44"/>
    <w:rsid w:val="00143482"/>
    <w:rsid w:val="00146EC0"/>
    <w:rsid w:val="001477D6"/>
    <w:rsid w:val="001540EE"/>
    <w:rsid w:val="00176C60"/>
    <w:rsid w:val="00184157"/>
    <w:rsid w:val="001902EE"/>
    <w:rsid w:val="00190B7C"/>
    <w:rsid w:val="00194260"/>
    <w:rsid w:val="001A1C1B"/>
    <w:rsid w:val="001A435A"/>
    <w:rsid w:val="001B6ADD"/>
    <w:rsid w:val="001C21A5"/>
    <w:rsid w:val="001C5133"/>
    <w:rsid w:val="001C55B1"/>
    <w:rsid w:val="001D0D93"/>
    <w:rsid w:val="001E5065"/>
    <w:rsid w:val="001E7371"/>
    <w:rsid w:val="001F3ECA"/>
    <w:rsid w:val="002006FD"/>
    <w:rsid w:val="0020466A"/>
    <w:rsid w:val="002100F7"/>
    <w:rsid w:val="002201F8"/>
    <w:rsid w:val="00221CC6"/>
    <w:rsid w:val="00226848"/>
    <w:rsid w:val="00226F76"/>
    <w:rsid w:val="00234715"/>
    <w:rsid w:val="00240EC0"/>
    <w:rsid w:val="00241AB2"/>
    <w:rsid w:val="0024454A"/>
    <w:rsid w:val="002475D7"/>
    <w:rsid w:val="00247F88"/>
    <w:rsid w:val="0025201B"/>
    <w:rsid w:val="002543C1"/>
    <w:rsid w:val="00283A7F"/>
    <w:rsid w:val="00285537"/>
    <w:rsid w:val="00291294"/>
    <w:rsid w:val="002A47F5"/>
    <w:rsid w:val="002B120E"/>
    <w:rsid w:val="002B797D"/>
    <w:rsid w:val="002C37CF"/>
    <w:rsid w:val="002D3005"/>
    <w:rsid w:val="002D43F7"/>
    <w:rsid w:val="002E51BA"/>
    <w:rsid w:val="002F08B8"/>
    <w:rsid w:val="002F6F41"/>
    <w:rsid w:val="0030060A"/>
    <w:rsid w:val="00302623"/>
    <w:rsid w:val="00302883"/>
    <w:rsid w:val="003036B3"/>
    <w:rsid w:val="00310ECC"/>
    <w:rsid w:val="00323667"/>
    <w:rsid w:val="00335D68"/>
    <w:rsid w:val="00341340"/>
    <w:rsid w:val="0036068F"/>
    <w:rsid w:val="00364DC5"/>
    <w:rsid w:val="003659D6"/>
    <w:rsid w:val="003670CC"/>
    <w:rsid w:val="00373292"/>
    <w:rsid w:val="00377418"/>
    <w:rsid w:val="00384703"/>
    <w:rsid w:val="0039405D"/>
    <w:rsid w:val="00394E7F"/>
    <w:rsid w:val="00395093"/>
    <w:rsid w:val="00396D3D"/>
    <w:rsid w:val="003B30FB"/>
    <w:rsid w:val="003B4F07"/>
    <w:rsid w:val="003D50BD"/>
    <w:rsid w:val="003E182D"/>
    <w:rsid w:val="003F12F2"/>
    <w:rsid w:val="003F30FD"/>
    <w:rsid w:val="00403344"/>
    <w:rsid w:val="00412AA8"/>
    <w:rsid w:val="00415BF4"/>
    <w:rsid w:val="00426128"/>
    <w:rsid w:val="00434677"/>
    <w:rsid w:val="0044665C"/>
    <w:rsid w:val="00452728"/>
    <w:rsid w:val="0045392D"/>
    <w:rsid w:val="00456C5A"/>
    <w:rsid w:val="00461437"/>
    <w:rsid w:val="0046393C"/>
    <w:rsid w:val="00463D91"/>
    <w:rsid w:val="00467EEA"/>
    <w:rsid w:val="00474DA0"/>
    <w:rsid w:val="00480937"/>
    <w:rsid w:val="004A152F"/>
    <w:rsid w:val="004B6000"/>
    <w:rsid w:val="004B695B"/>
    <w:rsid w:val="004C4FBB"/>
    <w:rsid w:val="004D5854"/>
    <w:rsid w:val="004D66D3"/>
    <w:rsid w:val="004F73C5"/>
    <w:rsid w:val="00503E2C"/>
    <w:rsid w:val="005044DE"/>
    <w:rsid w:val="0051112F"/>
    <w:rsid w:val="00516B9F"/>
    <w:rsid w:val="00517B59"/>
    <w:rsid w:val="00524AE3"/>
    <w:rsid w:val="00531AD8"/>
    <w:rsid w:val="00561080"/>
    <w:rsid w:val="00562442"/>
    <w:rsid w:val="00563CB2"/>
    <w:rsid w:val="00565B2F"/>
    <w:rsid w:val="005717E8"/>
    <w:rsid w:val="00573E35"/>
    <w:rsid w:val="0057486C"/>
    <w:rsid w:val="005762BA"/>
    <w:rsid w:val="00577A8E"/>
    <w:rsid w:val="00591338"/>
    <w:rsid w:val="005A2972"/>
    <w:rsid w:val="005A4A80"/>
    <w:rsid w:val="005B1D13"/>
    <w:rsid w:val="005B28CF"/>
    <w:rsid w:val="005B2EFA"/>
    <w:rsid w:val="005C2FE4"/>
    <w:rsid w:val="005C3038"/>
    <w:rsid w:val="005D562F"/>
    <w:rsid w:val="005D5DD0"/>
    <w:rsid w:val="005E2541"/>
    <w:rsid w:val="005E498F"/>
    <w:rsid w:val="005E6826"/>
    <w:rsid w:val="005F213B"/>
    <w:rsid w:val="005F65E7"/>
    <w:rsid w:val="00606806"/>
    <w:rsid w:val="00623729"/>
    <w:rsid w:val="00631176"/>
    <w:rsid w:val="006336E5"/>
    <w:rsid w:val="00640D13"/>
    <w:rsid w:val="00641D87"/>
    <w:rsid w:val="00642F18"/>
    <w:rsid w:val="00643103"/>
    <w:rsid w:val="00645829"/>
    <w:rsid w:val="006466F7"/>
    <w:rsid w:val="006761DE"/>
    <w:rsid w:val="00677B81"/>
    <w:rsid w:val="006A0616"/>
    <w:rsid w:val="006A0D60"/>
    <w:rsid w:val="006C4D4A"/>
    <w:rsid w:val="006C6E2A"/>
    <w:rsid w:val="006D092F"/>
    <w:rsid w:val="006D0EA5"/>
    <w:rsid w:val="006F3397"/>
    <w:rsid w:val="006F3E39"/>
    <w:rsid w:val="00701144"/>
    <w:rsid w:val="0070535F"/>
    <w:rsid w:val="007068AC"/>
    <w:rsid w:val="00706A70"/>
    <w:rsid w:val="00710CEE"/>
    <w:rsid w:val="00713905"/>
    <w:rsid w:val="00723DDB"/>
    <w:rsid w:val="00731862"/>
    <w:rsid w:val="00731A80"/>
    <w:rsid w:val="007363C3"/>
    <w:rsid w:val="007409DB"/>
    <w:rsid w:val="00743962"/>
    <w:rsid w:val="00747C23"/>
    <w:rsid w:val="00747F47"/>
    <w:rsid w:val="007552BF"/>
    <w:rsid w:val="00767B51"/>
    <w:rsid w:val="00770054"/>
    <w:rsid w:val="00784F5B"/>
    <w:rsid w:val="007909C3"/>
    <w:rsid w:val="0079567E"/>
    <w:rsid w:val="00795E39"/>
    <w:rsid w:val="007A0BBE"/>
    <w:rsid w:val="007A2650"/>
    <w:rsid w:val="007B1E22"/>
    <w:rsid w:val="007B3B54"/>
    <w:rsid w:val="007B4104"/>
    <w:rsid w:val="007B6C23"/>
    <w:rsid w:val="007C53C9"/>
    <w:rsid w:val="007C6A02"/>
    <w:rsid w:val="007D484E"/>
    <w:rsid w:val="007E2140"/>
    <w:rsid w:val="007E4D56"/>
    <w:rsid w:val="007F0478"/>
    <w:rsid w:val="007F551A"/>
    <w:rsid w:val="007F5E26"/>
    <w:rsid w:val="00803095"/>
    <w:rsid w:val="00815BE9"/>
    <w:rsid w:val="00827D3A"/>
    <w:rsid w:val="008462E8"/>
    <w:rsid w:val="008525CD"/>
    <w:rsid w:val="00866C67"/>
    <w:rsid w:val="00872B92"/>
    <w:rsid w:val="00873604"/>
    <w:rsid w:val="00874475"/>
    <w:rsid w:val="00877570"/>
    <w:rsid w:val="00884548"/>
    <w:rsid w:val="00896E10"/>
    <w:rsid w:val="008A0CC8"/>
    <w:rsid w:val="008B3435"/>
    <w:rsid w:val="008B751E"/>
    <w:rsid w:val="008D263D"/>
    <w:rsid w:val="008D3A45"/>
    <w:rsid w:val="008E266C"/>
    <w:rsid w:val="008E4C7B"/>
    <w:rsid w:val="008E7695"/>
    <w:rsid w:val="008E7F34"/>
    <w:rsid w:val="008F3D29"/>
    <w:rsid w:val="009010C9"/>
    <w:rsid w:val="00916170"/>
    <w:rsid w:val="00917B97"/>
    <w:rsid w:val="00926F26"/>
    <w:rsid w:val="0093284A"/>
    <w:rsid w:val="00934191"/>
    <w:rsid w:val="009344CD"/>
    <w:rsid w:val="009A3B63"/>
    <w:rsid w:val="009B0747"/>
    <w:rsid w:val="009B2072"/>
    <w:rsid w:val="009B4EFD"/>
    <w:rsid w:val="009C204D"/>
    <w:rsid w:val="009D1001"/>
    <w:rsid w:val="009D4A50"/>
    <w:rsid w:val="009F1525"/>
    <w:rsid w:val="009F19B6"/>
    <w:rsid w:val="009F40D8"/>
    <w:rsid w:val="00A07483"/>
    <w:rsid w:val="00A12A7E"/>
    <w:rsid w:val="00A145D6"/>
    <w:rsid w:val="00A158F1"/>
    <w:rsid w:val="00A15D18"/>
    <w:rsid w:val="00A17705"/>
    <w:rsid w:val="00A22E05"/>
    <w:rsid w:val="00A2507F"/>
    <w:rsid w:val="00A25BF6"/>
    <w:rsid w:val="00A448DC"/>
    <w:rsid w:val="00A561B9"/>
    <w:rsid w:val="00A60AC3"/>
    <w:rsid w:val="00A614BC"/>
    <w:rsid w:val="00A651AF"/>
    <w:rsid w:val="00A6628D"/>
    <w:rsid w:val="00A66988"/>
    <w:rsid w:val="00A72AD7"/>
    <w:rsid w:val="00A852AE"/>
    <w:rsid w:val="00A8776C"/>
    <w:rsid w:val="00AA434A"/>
    <w:rsid w:val="00AA515B"/>
    <w:rsid w:val="00AA68C0"/>
    <w:rsid w:val="00AA710A"/>
    <w:rsid w:val="00AD0814"/>
    <w:rsid w:val="00AD30FB"/>
    <w:rsid w:val="00AF0372"/>
    <w:rsid w:val="00B00661"/>
    <w:rsid w:val="00B1774B"/>
    <w:rsid w:val="00B370A2"/>
    <w:rsid w:val="00B40C30"/>
    <w:rsid w:val="00B511EC"/>
    <w:rsid w:val="00B6091A"/>
    <w:rsid w:val="00B65B73"/>
    <w:rsid w:val="00B81C53"/>
    <w:rsid w:val="00B905B6"/>
    <w:rsid w:val="00B9253E"/>
    <w:rsid w:val="00BA0CE6"/>
    <w:rsid w:val="00BA5331"/>
    <w:rsid w:val="00BA5CAB"/>
    <w:rsid w:val="00BB0F90"/>
    <w:rsid w:val="00BB13AC"/>
    <w:rsid w:val="00BB2322"/>
    <w:rsid w:val="00BB3D42"/>
    <w:rsid w:val="00BC6747"/>
    <w:rsid w:val="00BD425A"/>
    <w:rsid w:val="00BD437D"/>
    <w:rsid w:val="00BD53B1"/>
    <w:rsid w:val="00BE549B"/>
    <w:rsid w:val="00BE646F"/>
    <w:rsid w:val="00BF0237"/>
    <w:rsid w:val="00BF5AF4"/>
    <w:rsid w:val="00BF7364"/>
    <w:rsid w:val="00C03F53"/>
    <w:rsid w:val="00C06068"/>
    <w:rsid w:val="00C07ADF"/>
    <w:rsid w:val="00C21325"/>
    <w:rsid w:val="00C23ED8"/>
    <w:rsid w:val="00C27984"/>
    <w:rsid w:val="00C369FB"/>
    <w:rsid w:val="00C40353"/>
    <w:rsid w:val="00C42C50"/>
    <w:rsid w:val="00C4397B"/>
    <w:rsid w:val="00C43BF2"/>
    <w:rsid w:val="00C51BF2"/>
    <w:rsid w:val="00C675B3"/>
    <w:rsid w:val="00C72355"/>
    <w:rsid w:val="00C75C75"/>
    <w:rsid w:val="00C7783F"/>
    <w:rsid w:val="00C87AF6"/>
    <w:rsid w:val="00C93134"/>
    <w:rsid w:val="00C93C21"/>
    <w:rsid w:val="00C94154"/>
    <w:rsid w:val="00C9448D"/>
    <w:rsid w:val="00C94808"/>
    <w:rsid w:val="00C97532"/>
    <w:rsid w:val="00CA1985"/>
    <w:rsid w:val="00CA5BA3"/>
    <w:rsid w:val="00CB0D4E"/>
    <w:rsid w:val="00CB1EE3"/>
    <w:rsid w:val="00CB4C9E"/>
    <w:rsid w:val="00CC2DF4"/>
    <w:rsid w:val="00CD0AFE"/>
    <w:rsid w:val="00CD123C"/>
    <w:rsid w:val="00CF2C86"/>
    <w:rsid w:val="00CF3BF8"/>
    <w:rsid w:val="00D03F42"/>
    <w:rsid w:val="00D0544D"/>
    <w:rsid w:val="00D15850"/>
    <w:rsid w:val="00D26917"/>
    <w:rsid w:val="00D269C7"/>
    <w:rsid w:val="00D31B43"/>
    <w:rsid w:val="00D36001"/>
    <w:rsid w:val="00D36C88"/>
    <w:rsid w:val="00D37A5F"/>
    <w:rsid w:val="00D414E8"/>
    <w:rsid w:val="00D43271"/>
    <w:rsid w:val="00D5276C"/>
    <w:rsid w:val="00D55699"/>
    <w:rsid w:val="00D613FF"/>
    <w:rsid w:val="00D653AB"/>
    <w:rsid w:val="00D80FAA"/>
    <w:rsid w:val="00D97D05"/>
    <w:rsid w:val="00DB2A2C"/>
    <w:rsid w:val="00DB3D57"/>
    <w:rsid w:val="00DB4B0A"/>
    <w:rsid w:val="00DC5C3C"/>
    <w:rsid w:val="00DD1A3A"/>
    <w:rsid w:val="00DE1CF7"/>
    <w:rsid w:val="00DF4780"/>
    <w:rsid w:val="00E15E8D"/>
    <w:rsid w:val="00E348BA"/>
    <w:rsid w:val="00E62C60"/>
    <w:rsid w:val="00E77D25"/>
    <w:rsid w:val="00E91766"/>
    <w:rsid w:val="00E96010"/>
    <w:rsid w:val="00EA2C1E"/>
    <w:rsid w:val="00EB20D5"/>
    <w:rsid w:val="00EC3B6B"/>
    <w:rsid w:val="00EC68CC"/>
    <w:rsid w:val="00ED0A59"/>
    <w:rsid w:val="00EE05F1"/>
    <w:rsid w:val="00EE1AFC"/>
    <w:rsid w:val="00EE1CBC"/>
    <w:rsid w:val="00EF2D07"/>
    <w:rsid w:val="00F14853"/>
    <w:rsid w:val="00F14E9C"/>
    <w:rsid w:val="00F16CDF"/>
    <w:rsid w:val="00F317A9"/>
    <w:rsid w:val="00F32BED"/>
    <w:rsid w:val="00F37313"/>
    <w:rsid w:val="00F5528E"/>
    <w:rsid w:val="00F72AC8"/>
    <w:rsid w:val="00F73287"/>
    <w:rsid w:val="00F75E62"/>
    <w:rsid w:val="00FA4301"/>
    <w:rsid w:val="00FC532A"/>
    <w:rsid w:val="00FD1351"/>
    <w:rsid w:val="00FD28ED"/>
    <w:rsid w:val="00FD7F2A"/>
    <w:rsid w:val="00FE5899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C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facebook.com/PSMMonitoring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http://www.twitter.com/PSMMonito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psmm.p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poplawska@psm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smm.pl/pl/raporty-specjalne" TargetMode="External"/><Relationship Id="rId14" Type="http://schemas.openxmlformats.org/officeDocument/2006/relationships/hyperlink" Target="https://www.youtube.com/channel/UCPLc9M8glPDsEJ8Xer-Oak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\Desktop\pilka%2001%2023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\Desktop\pilka%2001%2023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\Desktop\pilka%2001%2023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stacked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KM'!$A$4:$A$13</c:f>
              <c:strCache>
                <c:ptCount val="10"/>
                <c:pt idx="0">
                  <c:v>Cracovia </c:v>
                </c:pt>
                <c:pt idx="1">
                  <c:v>Jagiellonia Białystok</c:v>
                </c:pt>
                <c:pt idx="2">
                  <c:v>Górnik Zabrze</c:v>
                </c:pt>
                <c:pt idx="3">
                  <c:v>Lechia Gdańsk</c:v>
                </c:pt>
                <c:pt idx="4">
                  <c:v>Widzew Łódź</c:v>
                </c:pt>
                <c:pt idx="5">
                  <c:v>Raków Częstochowa</c:v>
                </c:pt>
                <c:pt idx="6">
                  <c:v>Śląsk Wrocław</c:v>
                </c:pt>
                <c:pt idx="7">
                  <c:v>Pogoń Szczecin</c:v>
                </c:pt>
                <c:pt idx="8">
                  <c:v>Lech Poznań</c:v>
                </c:pt>
                <c:pt idx="9">
                  <c:v>Legia Warszawa</c:v>
                </c:pt>
              </c:strCache>
            </c:strRef>
          </c:cat>
          <c:val>
            <c:numRef>
              <c:f>'Wykresy - KM'!$B$4:$B$13</c:f>
              <c:numCache>
                <c:formatCode>General</c:formatCode>
                <c:ptCount val="10"/>
                <c:pt idx="0">
                  <c:v>1225</c:v>
                </c:pt>
                <c:pt idx="1">
                  <c:v>1313</c:v>
                </c:pt>
                <c:pt idx="2">
                  <c:v>1341</c:v>
                </c:pt>
                <c:pt idx="3">
                  <c:v>1405</c:v>
                </c:pt>
                <c:pt idx="4">
                  <c:v>1477</c:v>
                </c:pt>
                <c:pt idx="5">
                  <c:v>1693</c:v>
                </c:pt>
                <c:pt idx="6">
                  <c:v>1794</c:v>
                </c:pt>
                <c:pt idx="7">
                  <c:v>1818</c:v>
                </c:pt>
                <c:pt idx="8">
                  <c:v>1982</c:v>
                </c:pt>
                <c:pt idx="9">
                  <c:v>2385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F9-463B-9CFD-80C2CD353F73}"/>
            </c:ext>
          </c:extLst>
        </c:ser>
        <c:overlap val="100"/>
        <c:axId val="84731008"/>
        <c:axId val="84732544"/>
      </c:barChart>
      <c:catAx>
        <c:axId val="84731008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84732544"/>
        <c:crosses val="autoZero"/>
        <c:auto val="1"/>
        <c:lblAlgn val="ctr"/>
        <c:lblOffset val="100"/>
      </c:catAx>
      <c:valAx>
        <c:axId val="84732544"/>
        <c:scaling>
          <c:orientation val="minMax"/>
          <c:max val="2500"/>
          <c:min val="0"/>
        </c:scaling>
        <c:axPos val="b"/>
        <c:numFmt formatCode="General" sourceLinked="1"/>
        <c:tickLblPos val="nextTo"/>
        <c:crossAx val="84731008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stacked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KM'!$A$39:$A$48</c:f>
              <c:strCache>
                <c:ptCount val="10"/>
                <c:pt idx="0">
                  <c:v>Stal Rzeszów</c:v>
                </c:pt>
                <c:pt idx="1">
                  <c:v>Skra Częstochowa</c:v>
                </c:pt>
                <c:pt idx="2">
                  <c:v>GKS Tychy</c:v>
                </c:pt>
                <c:pt idx="3">
                  <c:v>Arka Gdynia </c:v>
                </c:pt>
                <c:pt idx="4">
                  <c:v>Górnik Łęczna</c:v>
                </c:pt>
                <c:pt idx="5">
                  <c:v>Zagłębie Sosnowiec</c:v>
                </c:pt>
                <c:pt idx="6">
                  <c:v>ŁKS Łódź</c:v>
                </c:pt>
                <c:pt idx="7">
                  <c:v>Resovia</c:v>
                </c:pt>
                <c:pt idx="8">
                  <c:v>Ruch Chorzów</c:v>
                </c:pt>
                <c:pt idx="9">
                  <c:v>Wisła Kraków</c:v>
                </c:pt>
              </c:strCache>
            </c:strRef>
          </c:cat>
          <c:val>
            <c:numRef>
              <c:f>'Wykresy - KM'!$B$39:$B$48</c:f>
              <c:numCache>
                <c:formatCode>General</c:formatCode>
                <c:ptCount val="10"/>
                <c:pt idx="0">
                  <c:v>324</c:v>
                </c:pt>
                <c:pt idx="1">
                  <c:v>328</c:v>
                </c:pt>
                <c:pt idx="2">
                  <c:v>335</c:v>
                </c:pt>
                <c:pt idx="3">
                  <c:v>341</c:v>
                </c:pt>
                <c:pt idx="4">
                  <c:v>354</c:v>
                </c:pt>
                <c:pt idx="5">
                  <c:v>366</c:v>
                </c:pt>
                <c:pt idx="6">
                  <c:v>422</c:v>
                </c:pt>
                <c:pt idx="7">
                  <c:v>507</c:v>
                </c:pt>
                <c:pt idx="8">
                  <c:v>970</c:v>
                </c:pt>
                <c:pt idx="9">
                  <c:v>1353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FC1-4081-B679-1D461FBD9EBD}"/>
            </c:ext>
          </c:extLst>
        </c:ser>
        <c:gapWidth val="105"/>
        <c:overlap val="100"/>
        <c:axId val="88539904"/>
        <c:axId val="121469568"/>
      </c:barChart>
      <c:catAx>
        <c:axId val="88539904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21469568"/>
        <c:crosses val="autoZero"/>
        <c:auto val="1"/>
        <c:lblAlgn val="ctr"/>
        <c:lblOffset val="100"/>
      </c:catAx>
      <c:valAx>
        <c:axId val="121469568"/>
        <c:scaling>
          <c:orientation val="minMax"/>
          <c:max val="1400"/>
          <c:min val="0"/>
        </c:scaling>
        <c:axPos val="b"/>
        <c:numFmt formatCode="General" sourceLinked="1"/>
        <c:tickLblPos val="nextTo"/>
        <c:crossAx val="88539904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stacked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KM'!$A$23:$A$32</c:f>
              <c:strCache>
                <c:ptCount val="10"/>
                <c:pt idx="0">
                  <c:v>Mateusz Klich</c:v>
                </c:pt>
                <c:pt idx="1">
                  <c:v>Krzysztof Piątek</c:v>
                </c:pt>
                <c:pt idx="2">
                  <c:v>Przemysław Frankowski</c:v>
                </c:pt>
                <c:pt idx="3">
                  <c:v>Nicola Zalewski</c:v>
                </c:pt>
                <c:pt idx="4">
                  <c:v>Bartosz Bereszyński</c:v>
                </c:pt>
                <c:pt idx="5">
                  <c:v>Arkadiusz Milik</c:v>
                </c:pt>
                <c:pt idx="6">
                  <c:v>Piotr Zieliński</c:v>
                </c:pt>
                <c:pt idx="7">
                  <c:v>Jakub Kiwior</c:v>
                </c:pt>
                <c:pt idx="8">
                  <c:v>Wojciech Szczęsny </c:v>
                </c:pt>
                <c:pt idx="9">
                  <c:v>Robert Lewandowski</c:v>
                </c:pt>
              </c:strCache>
            </c:strRef>
          </c:cat>
          <c:val>
            <c:numRef>
              <c:f>'Wykresy - KM'!$B$23:$B$32</c:f>
              <c:numCache>
                <c:formatCode>General</c:formatCode>
                <c:ptCount val="10"/>
                <c:pt idx="0">
                  <c:v>278</c:v>
                </c:pt>
                <c:pt idx="1">
                  <c:v>284</c:v>
                </c:pt>
                <c:pt idx="2">
                  <c:v>319</c:v>
                </c:pt>
                <c:pt idx="3">
                  <c:v>328</c:v>
                </c:pt>
                <c:pt idx="4">
                  <c:v>403</c:v>
                </c:pt>
                <c:pt idx="5">
                  <c:v>724</c:v>
                </c:pt>
                <c:pt idx="6">
                  <c:v>771</c:v>
                </c:pt>
                <c:pt idx="7">
                  <c:v>774</c:v>
                </c:pt>
                <c:pt idx="8">
                  <c:v>964</c:v>
                </c:pt>
                <c:pt idx="9">
                  <c:v>2708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99-4A9B-B401-09DFC7072684}"/>
            </c:ext>
          </c:extLst>
        </c:ser>
        <c:overlap val="100"/>
        <c:axId val="84885504"/>
        <c:axId val="84887040"/>
      </c:barChart>
      <c:catAx>
        <c:axId val="84885504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84887040"/>
        <c:crosses val="autoZero"/>
        <c:auto val="1"/>
        <c:lblAlgn val="ctr"/>
        <c:lblOffset val="100"/>
      </c:catAx>
      <c:valAx>
        <c:axId val="84887040"/>
        <c:scaling>
          <c:orientation val="minMax"/>
          <c:max val="2800"/>
          <c:min val="0"/>
        </c:scaling>
        <c:axPos val="b"/>
        <c:numFmt formatCode="General" sourceLinked="1"/>
        <c:tickLblPos val="nextTo"/>
        <c:crossAx val="84885504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0.72124</cdr:x>
      <cdr:y>0.68793</cdr:y>
    </cdr:from>
    <cdr:to>
      <cdr:x>0.95222</cdr:x>
      <cdr:y>0.87149</cdr:y>
    </cdr:to>
    <cdr:pic>
      <cdr:nvPicPr>
        <cdr:cNvPr id="3" name="Obraz 2" descr="Obraz 19">
          <a:extLst xmlns:a="http://schemas.openxmlformats.org/drawingml/2006/main">
            <a:ext uri="{FF2B5EF4-FFF2-40B4-BE49-F238E27FC236}">
              <a16:creationId xmlns="" xmlns:a16="http://schemas.microsoft.com/office/drawing/2014/main" id="{CE5CB91E-47FF-6CDB-DD4B-06DF32E54BD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4014466" y="2023816"/>
          <a:ext cx="1285653" cy="5400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miter lim="400000"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0.71586</cdr:x>
      <cdr:y>0.68993</cdr:y>
    </cdr:from>
    <cdr:to>
      <cdr:x>0.94661</cdr:x>
      <cdr:y>0.87348</cdr:y>
    </cdr:to>
    <cdr:pic>
      <cdr:nvPicPr>
        <cdr:cNvPr id="3" name="Obraz 2" descr="Obraz 19">
          <a:extLst xmlns:a="http://schemas.openxmlformats.org/drawingml/2006/main">
            <a:ext uri="{FF2B5EF4-FFF2-40B4-BE49-F238E27FC236}">
              <a16:creationId xmlns="" xmlns:a16="http://schemas.microsoft.com/office/drawing/2014/main" id="{72B34A5C-83FB-C069-84D8-1014506F35B6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3988496" y="2029803"/>
          <a:ext cx="1285676" cy="5400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miter lim="400000"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0.72023</cdr:x>
      <cdr:y>0.69683</cdr:y>
    </cdr:from>
    <cdr:to>
      <cdr:x>0.95122</cdr:x>
      <cdr:y>0.88038</cdr:y>
    </cdr:to>
    <cdr:pic>
      <cdr:nvPicPr>
        <cdr:cNvPr id="2" name="Obraz 1" descr="Obraz 19">
          <a:extLst xmlns:a="http://schemas.openxmlformats.org/drawingml/2006/main">
            <a:ext uri="{FF2B5EF4-FFF2-40B4-BE49-F238E27FC236}">
              <a16:creationId xmlns="" xmlns:a16="http://schemas.microsoft.com/office/drawing/2014/main" id="{6760A1C0-1828-9DBF-3204-C783790162A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4008830" y="2050107"/>
          <a:ext cx="1285704" cy="5400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miter lim="400000"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kpoplawsk</cp:lastModifiedBy>
  <cp:revision>2</cp:revision>
  <dcterms:created xsi:type="dcterms:W3CDTF">2023-02-08T14:09:00Z</dcterms:created>
  <dcterms:modified xsi:type="dcterms:W3CDTF">2023-02-08T14:09:00Z</dcterms:modified>
</cp:coreProperties>
</file>