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Pozna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, 16.11.2022 r. </w:t>
      </w:r>
    </w:p>
    <w:p>
      <w:pPr>
        <w:pStyle w:val="normal.0"/>
        <w:jc w:val="both"/>
        <w:rPr>
          <w:rStyle w:val="Brak A"/>
          <w:sz w:val="24"/>
          <w:szCs w:val="24"/>
        </w:rPr>
      </w:pPr>
    </w:p>
    <w:p>
      <w:pPr>
        <w:pStyle w:val="normal.0"/>
        <w:jc w:val="center"/>
        <w:rPr>
          <w:rStyle w:val="Brak A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Pol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b w:val="1"/>
          <w:bCs w:val="1"/>
          <w:sz w:val="24"/>
          <w:szCs w:val="24"/>
          <w:rtl w:val="0"/>
        </w:rPr>
        <w:t>and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Rock</w:t>
      </w:r>
      <w:r>
        <w:rPr>
          <w:b w:val="1"/>
          <w:bCs w:val="1"/>
          <w:sz w:val="24"/>
          <w:szCs w:val="24"/>
          <w:rtl w:val="0"/>
        </w:rPr>
        <w:t xml:space="preserve"> najwi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ksz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mark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w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d  festiwali w rankingu Top Marka 2022</w:t>
      </w:r>
    </w:p>
    <w:p>
      <w:pPr>
        <w:pStyle w:val="normal.0"/>
        <w:jc w:val="both"/>
        <w:rPr>
          <w:rStyle w:val="Brak A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Po d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ugiej, ponad dwuletniej przerwie wywo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anej pandemi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koronawirusa, festiwale na nowo zago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y na mapie wydarze</w:t>
      </w:r>
      <w:r>
        <w:rPr>
          <w:b w:val="1"/>
          <w:bCs w:val="1"/>
          <w:sz w:val="24"/>
          <w:szCs w:val="24"/>
          <w:rtl w:val="0"/>
        </w:rPr>
        <w:t xml:space="preserve">ń </w:t>
      </w:r>
      <w:r>
        <w:rPr>
          <w:b w:val="1"/>
          <w:bCs w:val="1"/>
          <w:sz w:val="24"/>
          <w:szCs w:val="24"/>
          <w:rtl w:val="0"/>
        </w:rPr>
        <w:t>kulturalnych w Polsce. Jak ich organizatorzy poradzili sobie z  powrotem do rzeczywisto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 oraz z wieloma ograniczeniami i komunikacj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po tak d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ugim okresie ciszy? Odpowiedzi na te pytania znajdziemy w tegorocznym rankingu Top Marka.</w:t>
      </w:r>
    </w:p>
    <w:p>
      <w:pPr>
        <w:pStyle w:val="normal.0"/>
        <w:jc w:val="both"/>
        <w:rPr>
          <w:rStyle w:val="Brak A"/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Top Marka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to cykliczne badanie 500 brand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 50 bran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ach, prowadzone od 15 lat przez magazyn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de-DE"/>
        </w:rPr>
        <w:t>Press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oraz PSMM Monitoring &amp; More, w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rym klasyfikacja firm i organizacji nast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puje wg sp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jnego parametru jakim jest 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 marki. </w:t>
      </w:r>
    </w:p>
    <w:p>
      <w:pPr>
        <w:pStyle w:val="normal.0"/>
        <w:jc w:val="both"/>
        <w:rPr>
          <w:rStyle w:val="Brak A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Wielkie oczekiwania</w:t>
      </w:r>
    </w:p>
    <w:p>
      <w:pPr>
        <w:pStyle w:val="normal.0"/>
        <w:jc w:val="both"/>
        <w:rPr>
          <w:rStyle w:val="Brak A"/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Latem ubieg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ego roku przywr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cone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festiwale,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rych organizacj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wstrzymano po wybuchu pandemii koronawirusa.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wznowion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imprez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poprzedza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liczne zapowiedzi oraz analizy ogranicze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dla koncert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Zauwa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alny by</w:t>
      </w:r>
      <w:r>
        <w:rPr>
          <w:sz w:val="24"/>
          <w:szCs w:val="24"/>
          <w:rtl w:val="0"/>
        </w:rPr>
        <w:t xml:space="preserve">ł  </w:t>
      </w:r>
      <w:r>
        <w:rPr>
          <w:sz w:val="24"/>
          <w:szCs w:val="24"/>
          <w:rtl w:val="0"/>
        </w:rPr>
        <w:t>te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wysoki udzia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wzmianek o tematyce CSR, zw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aszcza w przypadku tegorocznego laureata Pol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and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Rock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imprezy organizowanej przez 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P w podzi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kowaniu dla wolontariuszy i donator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dorocznego wielkiego fina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u. </w:t>
      </w:r>
    </w:p>
    <w:p>
      <w:pPr>
        <w:pStyle w:val="normal.0"/>
        <w:jc w:val="both"/>
        <w:rPr>
          <w:rStyle w:val="Brak A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Top marki w kategorii Festiwale</w:t>
      </w:r>
    </w:p>
    <w:p>
      <w:pPr>
        <w:pStyle w:val="normal.0"/>
        <w:jc w:val="both"/>
        <w:rPr>
          <w:rStyle w:val="Brak A"/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Top 5 polskich festiwali znalaz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: Pol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and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de-DE"/>
        </w:rPr>
        <w:t>Rock, Open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 xml:space="preserve">er </w:t>
      </w:r>
      <w:r>
        <w:rPr>
          <w:sz w:val="24"/>
          <w:szCs w:val="24"/>
          <w:rtl w:val="0"/>
          <w:lang w:val="pt-PT"/>
        </w:rPr>
        <w:t xml:space="preserve">Festival,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ywiec M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skie Granie, Sopot Festival oraz Orange Warsaw Festival. </w:t>
      </w:r>
      <w:r>
        <w:rPr>
          <w:b w:val="1"/>
          <w:bCs w:val="1"/>
          <w:sz w:val="24"/>
          <w:szCs w:val="24"/>
          <w:rtl w:val="0"/>
        </w:rPr>
        <w:t>Pierwsze miejsce na podium rankingu Top Marka 2022 w kategorii Festiwale zaj</w:t>
      </w:r>
      <w:r>
        <w:rPr>
          <w:b w:val="1"/>
          <w:bCs w:val="1"/>
          <w:sz w:val="24"/>
          <w:szCs w:val="24"/>
          <w:rtl w:val="0"/>
        </w:rPr>
        <w:t xml:space="preserve">ął </w:t>
      </w:r>
      <w:r>
        <w:rPr>
          <w:b w:val="1"/>
          <w:bCs w:val="1"/>
          <w:sz w:val="24"/>
          <w:szCs w:val="24"/>
          <w:rtl w:val="0"/>
        </w:rPr>
        <w:t>Pol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b w:val="1"/>
          <w:bCs w:val="1"/>
          <w:sz w:val="24"/>
          <w:szCs w:val="24"/>
          <w:rtl w:val="0"/>
        </w:rPr>
        <w:t>and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b w:val="1"/>
          <w:bCs w:val="1"/>
          <w:sz w:val="24"/>
          <w:szCs w:val="24"/>
          <w:rtl w:val="0"/>
        </w:rPr>
        <w:t>Rock z si</w:t>
      </w:r>
      <w:r>
        <w:rPr>
          <w:b w:val="1"/>
          <w:bCs w:val="1"/>
          <w:sz w:val="24"/>
          <w:szCs w:val="24"/>
          <w:rtl w:val="0"/>
        </w:rPr>
        <w:t xml:space="preserve">łą </w:t>
      </w:r>
      <w:r>
        <w:rPr>
          <w:b w:val="1"/>
          <w:bCs w:val="1"/>
          <w:sz w:val="24"/>
          <w:szCs w:val="24"/>
          <w:rtl w:val="0"/>
        </w:rPr>
        <w:t>marki 331 931 pkt.</w:t>
      </w:r>
      <w:r>
        <w:rPr>
          <w:sz w:val="24"/>
          <w:szCs w:val="24"/>
          <w:rtl w:val="0"/>
        </w:rPr>
        <w:t xml:space="preserve"> Na jego popularno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w tegorocznym zestawieniu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liczba publikacji, ich zasi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g i najcz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ciej pozytywny wyd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k. Nie bez znaczenia dla wizerunku wydarzenia pozostaje popularno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Jerzego Owsiaka, tw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rcy festiwalu  i szefa 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P. Szeroki odzew wywo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transmisje online festiwalowych wydarze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w serwisach YouTube oraz Facebook.</w:t>
      </w:r>
    </w:p>
    <w:p>
      <w:pPr>
        <w:pStyle w:val="normal.0"/>
        <w:jc w:val="both"/>
        <w:rPr>
          <w:rStyle w:val="Brak A"/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Drugie miejsce zaj</w:t>
      </w:r>
      <w:r>
        <w:rPr>
          <w:b w:val="1"/>
          <w:bCs w:val="1"/>
          <w:sz w:val="24"/>
          <w:szCs w:val="24"/>
          <w:rtl w:val="0"/>
        </w:rPr>
        <w:t xml:space="preserve">ął </w:t>
      </w:r>
      <w:r>
        <w:rPr>
          <w:b w:val="1"/>
          <w:bCs w:val="1"/>
          <w:sz w:val="24"/>
          <w:szCs w:val="24"/>
          <w:rtl w:val="0"/>
          <w:lang w:val="nl-NL"/>
        </w:rPr>
        <w:t>Open</w:t>
      </w:r>
      <w:r>
        <w:rPr>
          <w:rFonts w:ascii="Arial Unicode MS" w:hAnsi="Arial Unicode MS" w:hint="default"/>
          <w:sz w:val="24"/>
          <w:szCs w:val="24"/>
          <w:rtl w:val="1"/>
        </w:rPr>
        <w:t>’</w:t>
      </w:r>
      <w:r>
        <w:rPr>
          <w:b w:val="1"/>
          <w:bCs w:val="1"/>
          <w:sz w:val="24"/>
          <w:szCs w:val="24"/>
          <w:rtl w:val="0"/>
        </w:rPr>
        <w:t>er Festival, osi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gaj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 wynik 206 734 pkt</w:t>
      </w:r>
      <w:r>
        <w:rPr>
          <w:sz w:val="24"/>
          <w:szCs w:val="24"/>
          <w:rtl w:val="0"/>
        </w:rPr>
        <w:t>.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 lutym, kiedy og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oszono nowych artyst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 line-upie wydarzenia, liczba wzmianek o imprezie gwa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townie wzros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a, podobnie jak w maju, gdy dopinano na ostatni guzik szczeg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 xml:space="preserve">y festiwalu. 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Trzecie miejsce na podium zaj</w:t>
      </w:r>
      <w:r>
        <w:rPr>
          <w:b w:val="1"/>
          <w:bCs w:val="1"/>
          <w:sz w:val="24"/>
          <w:szCs w:val="24"/>
          <w:rtl w:val="0"/>
        </w:rPr>
        <w:t>ął Ż</w:t>
      </w:r>
      <w:r>
        <w:rPr>
          <w:b w:val="1"/>
          <w:bCs w:val="1"/>
          <w:sz w:val="24"/>
          <w:szCs w:val="24"/>
          <w:rtl w:val="0"/>
        </w:rPr>
        <w:t>ywiec M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skie Granie (161 833 pkt.)</w:t>
      </w:r>
      <w:r>
        <w:rPr>
          <w:sz w:val="24"/>
          <w:szCs w:val="24"/>
          <w:rtl w:val="0"/>
        </w:rPr>
        <w:t>,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rym wzmiankowano m.in. w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zku z premier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kolejnego hymnu eventu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piosenk</w:t>
      </w:r>
      <w:r>
        <w:rPr>
          <w:sz w:val="24"/>
          <w:szCs w:val="24"/>
          <w:rtl w:val="0"/>
        </w:rPr>
        <w:t>ą „</w:t>
      </w:r>
      <w:r>
        <w:rPr>
          <w:sz w:val="24"/>
          <w:szCs w:val="24"/>
          <w:rtl w:val="0"/>
        </w:rPr>
        <w:t>Jest tylko teraz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, stworzon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przez Krzysztofa Zalewskiego, Kwiat Jab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>oni i Bedoesa, 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zku z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aty za bilety wy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 xml:space="preserve">cznie blikiem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ta marka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 oficjalnym partnerem festiwalu.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99483</wp:posOffset>
            </wp:positionH>
            <wp:positionV relativeFrom="line">
              <wp:posOffset>301720</wp:posOffset>
            </wp:positionV>
            <wp:extent cx="5621867" cy="2977464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599" y="21599"/>
                <wp:lineTo x="21599" y="0"/>
                <wp:lineTo x="0" y="0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847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621867" cy="2977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outline w:val="0"/>
          <w:color w:val="a7a7a7"/>
          <w:sz w:val="24"/>
          <w:szCs w:val="24"/>
          <w14:textFill>
            <w14:solidFill>
              <w14:srgbClr w14:val="A7A7A7"/>
            </w14:solidFill>
          </w14:textFill>
        </w:rPr>
      </w:pPr>
      <w:r>
        <w:rPr>
          <w:outline w:val="0"/>
          <w:color w:val="a7a7a7"/>
          <w:sz w:val="24"/>
          <w:szCs w:val="24"/>
          <w:rtl w:val="0"/>
          <w14:textFill>
            <w14:solidFill>
              <w14:srgbClr w14:val="A7A7A7"/>
            </w14:solidFill>
          </w14:textFill>
        </w:rPr>
        <w:t xml:space="preserve">Tabela 1. Ranking marek w kategorii </w:t>
      </w:r>
      <w:r>
        <w:rPr>
          <w:outline w:val="0"/>
          <w:color w:val="a7a7a7"/>
          <w:sz w:val="24"/>
          <w:szCs w:val="24"/>
          <w:rtl w:val="0"/>
          <w14:textFill>
            <w14:solidFill>
              <w14:srgbClr w14:val="A7A7A7"/>
            </w14:solidFill>
          </w14:textFill>
        </w:rPr>
        <w:t>Festiwale</w:t>
      </w:r>
      <w:r>
        <w:rPr>
          <w:outline w:val="0"/>
          <w:color w:val="a7a7a7"/>
          <w:sz w:val="24"/>
          <w:szCs w:val="24"/>
          <w:rtl w:val="0"/>
          <w14:textFill>
            <w14:solidFill>
              <w14:srgbClr w14:val="A7A7A7"/>
            </w14:solidFill>
          </w14:textFill>
        </w:rPr>
        <w:t xml:space="preserve"> – </w:t>
      </w:r>
      <w:r>
        <w:rPr>
          <w:outline w:val="0"/>
          <w:color w:val="a7a7a7"/>
          <w:sz w:val="24"/>
          <w:szCs w:val="24"/>
          <w:rtl w:val="0"/>
          <w14:textFill>
            <w14:solidFill>
              <w14:srgbClr w14:val="A7A7A7"/>
            </w14:solidFill>
          </w14:textFill>
        </w:rPr>
        <w:t>Top Marka 2022</w:t>
      </w:r>
    </w:p>
    <w:p>
      <w:pPr>
        <w:pStyle w:val="normal.0"/>
        <w:jc w:val="both"/>
        <w:rPr>
          <w:rStyle w:val="Brak A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Media, w kt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rych najcz</w:t>
      </w:r>
      <w:r>
        <w:rPr>
          <w:b w:val="1"/>
          <w:bCs w:val="1"/>
          <w:sz w:val="24"/>
          <w:szCs w:val="24"/>
          <w:rtl w:val="0"/>
        </w:rPr>
        <w:t>ęś</w:t>
      </w:r>
      <w:r>
        <w:rPr>
          <w:b w:val="1"/>
          <w:bCs w:val="1"/>
          <w:sz w:val="24"/>
          <w:szCs w:val="24"/>
          <w:rtl w:val="0"/>
        </w:rPr>
        <w:t>ciej pisano o bran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</w:t>
      </w:r>
    </w:p>
    <w:p>
      <w:pPr>
        <w:pStyle w:val="normal.0"/>
        <w:jc w:val="both"/>
        <w:rPr>
          <w:rStyle w:val="Brak A"/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czo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wce tytu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 prasowych, w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rych znalaz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>o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najwi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wzmianek na temat analizowanych festiwali,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y: Gazeta Wyborcza, Teraz Rock, Dziennik Zachodni, Gazeta Wyborcza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jmiasto oraz Rzeczpospolita. W analizie wyr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 portale internetowe: Muzyka.interia.pl, Rytmy.pl, Onet.pl, Polskieradio.pl oraz Muno.pl. Najbardziej anga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tematyk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medium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ciowym 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Facebook (44 000 wzmianek). Na kolejnych pozycjach znalaz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Twitter (34 865), Instagram (3818) oraz YouTube (1300).</w:t>
      </w:r>
    </w:p>
    <w:p>
      <w:pPr>
        <w:pStyle w:val="normal.0"/>
        <w:jc w:val="both"/>
        <w:rPr>
          <w:rStyle w:val="Brak A"/>
          <w:sz w:val="24"/>
          <w:szCs w:val="24"/>
        </w:rPr>
      </w:pPr>
    </w:p>
    <w:p>
      <w:pPr>
        <w:pStyle w:val="normal.0"/>
        <w:shd w:val="clear" w:color="auto" w:fill="ffffff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spacing w:after="100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Podstawy metodologii</w:t>
      </w:r>
    </w:p>
    <w:p>
      <w:pPr>
        <w:pStyle w:val="normal.0"/>
        <w:shd w:val="clear" w:color="auto" w:fill="ffffff"/>
        <w:spacing w:after="10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Przyj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ta w badaniu metodologia opiera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korzystaniu z por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wnywalnych wska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dla wszystkich rodzaj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wzmianek, 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specyfik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prasy, portali internetowych i social medi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decyduj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o miejscu brandu w rankingu jest niezmiennie </w:t>
      </w:r>
      <w:r>
        <w:rPr>
          <w:b w:val="1"/>
          <w:bCs w:val="1"/>
          <w:sz w:val="24"/>
          <w:szCs w:val="24"/>
          <w:rtl w:val="0"/>
        </w:rPr>
        <w:t>si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 marki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wypadkowa kilku zmiennych (impactu, indeksu wyd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ku i liczby publikacji)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zar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wno o liczbie kontakt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odbiorc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 mark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jak i jako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ciowej ocenie komunikatu na jej temat. Do wyliczenia sumarycznego impactu analizowanych materia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 zastosowano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czynnik koryguj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dla kr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tkich, jednowyrazowych lub jednozdaniowych wzmianek.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 takich publikacji na 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 rankingu zosta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ograniczony, by nie przes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>oni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one znaczenia materia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zanych z bie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marek i zazwyczaj w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kszym stopniu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na ich wizerunek.</w:t>
      </w:r>
    </w:p>
    <w:p>
      <w:pPr>
        <w:pStyle w:val="normal.0"/>
        <w:shd w:val="clear" w:color="auto" w:fill="ffffff"/>
        <w:spacing w:after="10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shd w:val="clear" w:color="auto" w:fill="ffffff"/>
        <w:spacing w:after="100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Wska</w:t>
      </w:r>
      <w:r>
        <w:rPr>
          <w:b w:val="1"/>
          <w:bCs w:val="1"/>
          <w:sz w:val="24"/>
          <w:szCs w:val="24"/>
          <w:u w:val="single"/>
          <w:rtl w:val="0"/>
        </w:rPr>
        <w:t>ź</w:t>
      </w:r>
      <w:r>
        <w:rPr>
          <w:b w:val="1"/>
          <w:bCs w:val="1"/>
          <w:sz w:val="24"/>
          <w:szCs w:val="24"/>
          <w:u w:val="single"/>
          <w:rtl w:val="0"/>
        </w:rPr>
        <w:t xml:space="preserve">niki zastosowane w badaniu </w:t>
      </w:r>
      <w:r>
        <w:rPr>
          <w:b w:val="1"/>
          <w:bCs w:val="1"/>
          <w:sz w:val="24"/>
          <w:szCs w:val="24"/>
          <w:u w:val="single"/>
          <w:rtl w:val="0"/>
        </w:rPr>
        <w:t>„</w:t>
      </w:r>
      <w:r>
        <w:rPr>
          <w:b w:val="1"/>
          <w:bCs w:val="1"/>
          <w:sz w:val="24"/>
          <w:szCs w:val="24"/>
          <w:u w:val="single"/>
          <w:rtl w:val="0"/>
        </w:rPr>
        <w:t>Top Marka 2021</w:t>
      </w:r>
      <w:r>
        <w:rPr>
          <w:b w:val="1"/>
          <w:bCs w:val="1"/>
          <w:sz w:val="24"/>
          <w:szCs w:val="24"/>
          <w:u w:val="single"/>
          <w:rtl w:val="0"/>
        </w:rPr>
        <w:t>”</w:t>
      </w:r>
    </w:p>
    <w:p>
      <w:pPr>
        <w:pStyle w:val="normal.0"/>
        <w:shd w:val="clear" w:color="auto" w:fill="ffffff"/>
        <w:spacing w:after="10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Impact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dotarcie wzmianki o marce w oparciu o dane o konsumpcji medium.</w:t>
      </w:r>
    </w:p>
    <w:p>
      <w:pPr>
        <w:pStyle w:val="normal.0"/>
        <w:shd w:val="clear" w:color="auto" w:fill="ffffff"/>
        <w:spacing w:after="10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Indeks sentymentu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czynnik oparty na wyd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ku; odzwierciedla udzia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publikacji pozytywnych, neutralnych i negatywnych w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przekazu o danej marce: im 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szy, tym lepszy.</w:t>
      </w:r>
    </w:p>
    <w:p>
      <w:pPr>
        <w:pStyle w:val="normal.0"/>
        <w:shd w:val="clear" w:color="auto" w:fill="ffffff"/>
        <w:spacing w:after="10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Si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 marki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ostateczna 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decyduj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ca o miejscu w rankingu; jest indeksem kilku zmiennych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zar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wno o liczbie kontakt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odbiorc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 mark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jak i jako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ciowej ocenie komunikatu.</w:t>
      </w:r>
    </w:p>
    <w:p>
      <w:pPr>
        <w:pStyle w:val="normal.0"/>
        <w:shd w:val="clear" w:color="auto" w:fill="ffffff"/>
        <w:spacing w:after="100"/>
        <w:jc w:val="both"/>
        <w:rPr>
          <w:rStyle w:val="Hyperlink.0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"https://www.youtube.com/watch?v=pUA9c9Lwrzk"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Metodologia Top Marki</w:t>
      </w:r>
      <w:r>
        <w:rPr/>
        <w:fldChar w:fldCharType="end" w:fldLock="0"/>
      </w:r>
    </w:p>
    <w:p>
      <w:pPr>
        <w:pStyle w:val="normal.0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 xml:space="preserve"> </w:t>
      </w:r>
    </w:p>
    <w:p>
      <w:pPr>
        <w:pStyle w:val="normal.0"/>
        <w:shd w:val="clear" w:color="auto" w:fill="ffffff"/>
        <w:spacing w:after="100"/>
        <w:jc w:val="both"/>
        <w:rPr>
          <w:rStyle w:val="Hyperlink.1"/>
        </w:rPr>
      </w:pPr>
      <w:r>
        <w:rPr>
          <w:rStyle w:val="Brak"/>
          <w:sz w:val="24"/>
          <w:szCs w:val="24"/>
          <w:rtl w:val="0"/>
        </w:rPr>
        <w:t>Raporty bran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 xml:space="preserve">owe Top Marka </w:t>
      </w:r>
      <w:r>
        <w:rPr>
          <w:rStyle w:val="Brak"/>
          <w:sz w:val="24"/>
          <w:szCs w:val="24"/>
          <w:rtl w:val="0"/>
        </w:rPr>
        <w:t xml:space="preserve">– </w:t>
      </w:r>
      <w:r>
        <w:rPr>
          <w:rStyle w:val="Brak"/>
          <w:sz w:val="24"/>
          <w:szCs w:val="24"/>
          <w:rtl w:val="0"/>
        </w:rPr>
        <w:t>w wersji podstawowej i poszerzonej s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dost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 xml:space="preserve">pne na &gt;&gt;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"https://sklep.topmarka.eu/"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sklep.topmarka.eu</w:t>
      </w:r>
      <w:r>
        <w:rPr/>
        <w:fldChar w:fldCharType="end" w:fldLock="0"/>
      </w:r>
    </w:p>
    <w:p>
      <w:pPr>
        <w:pStyle w:val="normal.0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 xml:space="preserve"> </w:t>
      </w:r>
    </w:p>
    <w:p>
      <w:pPr>
        <w:pStyle w:val="normal.0"/>
        <w:shd w:val="clear" w:color="auto" w:fill="ffffff"/>
        <w:spacing w:after="100"/>
        <w:jc w:val="both"/>
        <w:rPr>
          <w:rStyle w:val="Brak"/>
          <w:i w:val="1"/>
          <w:iCs w:val="1"/>
          <w:sz w:val="24"/>
          <w:szCs w:val="24"/>
        </w:rPr>
      </w:pPr>
      <w:r>
        <w:rPr>
          <w:rStyle w:val="Brak"/>
          <w:i w:val="1"/>
          <w:iCs w:val="1"/>
          <w:sz w:val="24"/>
          <w:szCs w:val="24"/>
          <w:rtl w:val="0"/>
        </w:rPr>
        <w:t>PSMM Monitoring &amp; More i Magazyn Press wyra</w:t>
      </w:r>
      <w:r>
        <w:rPr>
          <w:rStyle w:val="Brak"/>
          <w:i w:val="1"/>
          <w:iCs w:val="1"/>
          <w:sz w:val="24"/>
          <w:szCs w:val="24"/>
          <w:rtl w:val="0"/>
        </w:rPr>
        <w:t>ż</w:t>
      </w:r>
      <w:r>
        <w:rPr>
          <w:rStyle w:val="Brak"/>
          <w:i w:val="1"/>
          <w:iCs w:val="1"/>
          <w:sz w:val="24"/>
          <w:szCs w:val="24"/>
          <w:rtl w:val="0"/>
        </w:rPr>
        <w:t>aj</w:t>
      </w:r>
      <w:r>
        <w:rPr>
          <w:rStyle w:val="Brak"/>
          <w:i w:val="1"/>
          <w:iCs w:val="1"/>
          <w:sz w:val="24"/>
          <w:szCs w:val="24"/>
          <w:rtl w:val="0"/>
        </w:rPr>
        <w:t xml:space="preserve">ą </w:t>
      </w:r>
      <w:r>
        <w:rPr>
          <w:rStyle w:val="Brak"/>
          <w:i w:val="1"/>
          <w:iCs w:val="1"/>
          <w:sz w:val="24"/>
          <w:szCs w:val="24"/>
          <w:rtl w:val="0"/>
        </w:rPr>
        <w:t>zgod</w:t>
      </w:r>
      <w:r>
        <w:rPr>
          <w:rStyle w:val="Brak"/>
          <w:i w:val="1"/>
          <w:iCs w:val="1"/>
          <w:sz w:val="24"/>
          <w:szCs w:val="24"/>
          <w:rtl w:val="0"/>
        </w:rPr>
        <w:t xml:space="preserve">ę </w:t>
      </w:r>
      <w:r>
        <w:rPr>
          <w:rStyle w:val="Brak"/>
          <w:i w:val="1"/>
          <w:iCs w:val="1"/>
          <w:sz w:val="24"/>
          <w:szCs w:val="24"/>
          <w:rtl w:val="0"/>
          <w:lang w:val="it-IT"/>
        </w:rPr>
        <w:t>na pe</w:t>
      </w:r>
      <w:r>
        <w:rPr>
          <w:rStyle w:val="Brak"/>
          <w:i w:val="1"/>
          <w:iCs w:val="1"/>
          <w:sz w:val="24"/>
          <w:szCs w:val="24"/>
          <w:rtl w:val="0"/>
        </w:rPr>
        <w:t>ł</w:t>
      </w:r>
      <w:r>
        <w:rPr>
          <w:rStyle w:val="Brak"/>
          <w:i w:val="1"/>
          <w:iCs w:val="1"/>
          <w:sz w:val="24"/>
          <w:szCs w:val="24"/>
          <w:rtl w:val="0"/>
        </w:rPr>
        <w:t>n</w:t>
      </w:r>
      <w:r>
        <w:rPr>
          <w:rStyle w:val="Brak"/>
          <w:i w:val="1"/>
          <w:iCs w:val="1"/>
          <w:sz w:val="24"/>
          <w:szCs w:val="24"/>
          <w:rtl w:val="0"/>
        </w:rPr>
        <w:t xml:space="preserve">ą </w:t>
      </w:r>
      <w:r>
        <w:rPr>
          <w:rStyle w:val="Brak"/>
          <w:i w:val="1"/>
          <w:iCs w:val="1"/>
          <w:sz w:val="24"/>
          <w:szCs w:val="24"/>
          <w:rtl w:val="0"/>
        </w:rPr>
        <w:t>lub cz</w:t>
      </w:r>
      <w:r>
        <w:rPr>
          <w:rStyle w:val="Brak"/>
          <w:i w:val="1"/>
          <w:iCs w:val="1"/>
          <w:sz w:val="24"/>
          <w:szCs w:val="24"/>
          <w:rtl w:val="0"/>
        </w:rPr>
        <w:t>ęś</w:t>
      </w:r>
      <w:r>
        <w:rPr>
          <w:rStyle w:val="Brak"/>
          <w:i w:val="1"/>
          <w:iCs w:val="1"/>
          <w:sz w:val="24"/>
          <w:szCs w:val="24"/>
          <w:rtl w:val="0"/>
        </w:rPr>
        <w:t>ciow</w:t>
      </w:r>
      <w:r>
        <w:rPr>
          <w:rStyle w:val="Brak"/>
          <w:i w:val="1"/>
          <w:iCs w:val="1"/>
          <w:sz w:val="24"/>
          <w:szCs w:val="24"/>
          <w:rtl w:val="0"/>
        </w:rPr>
        <w:t xml:space="preserve">ą </w:t>
      </w:r>
      <w:r>
        <w:rPr>
          <w:rStyle w:val="Brak"/>
          <w:i w:val="1"/>
          <w:iCs w:val="1"/>
          <w:sz w:val="24"/>
          <w:szCs w:val="24"/>
          <w:rtl w:val="0"/>
        </w:rPr>
        <w:t>publikacj</w:t>
      </w:r>
      <w:r>
        <w:rPr>
          <w:rStyle w:val="Brak"/>
          <w:i w:val="1"/>
          <w:iCs w:val="1"/>
          <w:sz w:val="24"/>
          <w:szCs w:val="24"/>
          <w:rtl w:val="0"/>
        </w:rPr>
        <w:t xml:space="preserve">ę </w:t>
      </w:r>
      <w:r>
        <w:rPr>
          <w:rStyle w:val="Brak"/>
          <w:i w:val="1"/>
          <w:iCs w:val="1"/>
          <w:sz w:val="24"/>
          <w:szCs w:val="24"/>
          <w:rtl w:val="0"/>
          <w:lang w:val="it-IT"/>
        </w:rPr>
        <w:t>materia</w:t>
      </w:r>
      <w:r>
        <w:rPr>
          <w:rStyle w:val="Brak"/>
          <w:i w:val="1"/>
          <w:iCs w:val="1"/>
          <w:sz w:val="24"/>
          <w:szCs w:val="24"/>
          <w:rtl w:val="0"/>
        </w:rPr>
        <w:t>łó</w:t>
      </w:r>
      <w:r>
        <w:rPr>
          <w:rStyle w:val="Brak"/>
          <w:i w:val="1"/>
          <w:iCs w:val="1"/>
          <w:sz w:val="24"/>
          <w:szCs w:val="24"/>
          <w:rtl w:val="0"/>
        </w:rPr>
        <w:t xml:space="preserve">w pod warunkiem podania </w:t>
      </w:r>
      <w:r>
        <w:rPr>
          <w:rStyle w:val="Brak"/>
          <w:i w:val="1"/>
          <w:iCs w:val="1"/>
          <w:sz w:val="24"/>
          <w:szCs w:val="24"/>
          <w:rtl w:val="0"/>
        </w:rPr>
        <w:t>ź</w:t>
      </w:r>
      <w:r>
        <w:rPr>
          <w:rStyle w:val="Brak"/>
          <w:i w:val="1"/>
          <w:iCs w:val="1"/>
          <w:sz w:val="24"/>
          <w:szCs w:val="24"/>
          <w:rtl w:val="0"/>
        </w:rPr>
        <w:t>r</w:t>
      </w:r>
      <w:r>
        <w:rPr>
          <w:rStyle w:val="Brak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Brak"/>
          <w:i w:val="1"/>
          <w:iCs w:val="1"/>
          <w:sz w:val="24"/>
          <w:szCs w:val="24"/>
          <w:rtl w:val="0"/>
        </w:rPr>
        <w:t>d</w:t>
      </w:r>
      <w:r>
        <w:rPr>
          <w:rStyle w:val="Brak"/>
          <w:i w:val="1"/>
          <w:iCs w:val="1"/>
          <w:sz w:val="24"/>
          <w:szCs w:val="24"/>
          <w:rtl w:val="0"/>
        </w:rPr>
        <w:t>ł</w:t>
      </w:r>
      <w:r>
        <w:rPr>
          <w:rStyle w:val="Brak"/>
          <w:i w:val="1"/>
          <w:iCs w:val="1"/>
          <w:sz w:val="24"/>
          <w:szCs w:val="24"/>
          <w:rtl w:val="0"/>
          <w:lang w:val="it-IT"/>
        </w:rPr>
        <w:t>a (pe</w:t>
      </w:r>
      <w:r>
        <w:rPr>
          <w:rStyle w:val="Brak"/>
          <w:i w:val="1"/>
          <w:iCs w:val="1"/>
          <w:sz w:val="24"/>
          <w:szCs w:val="24"/>
          <w:rtl w:val="0"/>
        </w:rPr>
        <w:t>ł</w:t>
      </w:r>
      <w:r>
        <w:rPr>
          <w:rStyle w:val="Brak"/>
          <w:i w:val="1"/>
          <w:iCs w:val="1"/>
          <w:sz w:val="24"/>
          <w:szCs w:val="24"/>
          <w:rtl w:val="0"/>
        </w:rPr>
        <w:t>ne nazwy firm: PSMM Monitoring &amp; More i Press , a w social media oznaczenie @PSMMonitoring (FB,TT) oraz @MagazynPress (FB) i @RedakcjaPress (TT)).</w:t>
      </w:r>
    </w:p>
    <w:p>
      <w:pPr>
        <w:pStyle w:val="normal.0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 xml:space="preserve"> </w:t>
      </w:r>
    </w:p>
    <w:p>
      <w:pPr>
        <w:pStyle w:val="normal.0"/>
        <w:shd w:val="clear" w:color="auto" w:fill="ffffff"/>
        <w:spacing w:after="100"/>
        <w:jc w:val="both"/>
        <w:rPr>
          <w:rStyle w:val="Brak"/>
          <w:sz w:val="24"/>
          <w:szCs w:val="24"/>
          <w:u w:val="single"/>
        </w:rPr>
      </w:pPr>
      <w:r>
        <w:rPr>
          <w:rStyle w:val="Brak"/>
          <w:sz w:val="24"/>
          <w:szCs w:val="24"/>
          <w:u w:val="single"/>
          <w:rtl w:val="0"/>
        </w:rPr>
        <w:t>Osoba do kontaktu:</w:t>
      </w:r>
    </w:p>
    <w:p>
      <w:pPr>
        <w:pStyle w:val="normal.0"/>
        <w:shd w:val="clear" w:color="auto" w:fill="ffffff"/>
        <w:spacing w:after="100"/>
        <w:jc w:val="both"/>
        <w:rPr>
          <w:rStyle w:val="Brak"/>
          <w:b w:val="1"/>
          <w:bCs w:val="1"/>
          <w:sz w:val="24"/>
          <w:szCs w:val="24"/>
        </w:rPr>
      </w:pPr>
      <w:r>
        <w:rPr>
          <w:rStyle w:val="Brak"/>
          <w:b w:val="1"/>
          <w:bCs w:val="1"/>
          <w:sz w:val="24"/>
          <w:szCs w:val="24"/>
          <w:rtl w:val="0"/>
        </w:rPr>
        <w:t>Katarzyna Pop</w:t>
      </w:r>
      <w:r>
        <w:rPr>
          <w:rStyle w:val="Brak"/>
          <w:b w:val="1"/>
          <w:bCs w:val="1"/>
          <w:sz w:val="24"/>
          <w:szCs w:val="24"/>
          <w:rtl w:val="0"/>
        </w:rPr>
        <w:t>ł</w:t>
      </w:r>
      <w:r>
        <w:rPr>
          <w:rStyle w:val="Brak"/>
          <w:b w:val="1"/>
          <w:bCs w:val="1"/>
          <w:sz w:val="24"/>
          <w:szCs w:val="24"/>
          <w:rtl w:val="0"/>
        </w:rPr>
        <w:t>awska</w:t>
      </w:r>
    </w:p>
    <w:p>
      <w:pPr>
        <w:pStyle w:val="normal.0"/>
        <w:shd w:val="clear" w:color="auto" w:fill="ffffff"/>
        <w:spacing w:after="100"/>
        <w:jc w:val="both"/>
        <w:rPr>
          <w:rStyle w:val="Brak"/>
          <w:b w:val="1"/>
          <w:bCs w:val="1"/>
          <w:sz w:val="24"/>
          <w:szCs w:val="24"/>
        </w:rPr>
      </w:pPr>
      <w:r>
        <w:rPr>
          <w:rStyle w:val="Brak"/>
          <w:b w:val="1"/>
          <w:bCs w:val="1"/>
          <w:sz w:val="24"/>
          <w:szCs w:val="24"/>
          <w:rtl w:val="0"/>
        </w:rPr>
        <w:t>Kierownik marketingu i PR</w:t>
      </w:r>
    </w:p>
    <w:p>
      <w:pPr>
        <w:pStyle w:val="normal.0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  <w:lang w:val="de-DE"/>
        </w:rPr>
        <w:t>kom: +48 697 410 680</w:t>
      </w:r>
    </w:p>
    <w:p>
      <w:pPr>
        <w:pStyle w:val="normal.0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kpoplawska@psmm.pl</w:t>
      </w:r>
    </w:p>
    <w:p>
      <w:pPr>
        <w:pStyle w:val="normal.0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PSMM Monitoring &amp; More</w:t>
      </w:r>
    </w:p>
    <w:p>
      <w:pPr>
        <w:pStyle w:val="normal.0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60-801 Pozna</w:t>
      </w:r>
      <w:r>
        <w:rPr>
          <w:rStyle w:val="Brak"/>
          <w:sz w:val="24"/>
          <w:szCs w:val="24"/>
          <w:rtl w:val="0"/>
        </w:rPr>
        <w:t>ń</w:t>
      </w:r>
      <w:r>
        <w:rPr>
          <w:rStyle w:val="Brak"/>
          <w:sz w:val="24"/>
          <w:szCs w:val="24"/>
          <w:rtl w:val="0"/>
        </w:rPr>
        <w:t>, ul. Marceli</w:t>
      </w:r>
      <w:r>
        <w:rPr>
          <w:rStyle w:val="Brak"/>
          <w:sz w:val="24"/>
          <w:szCs w:val="24"/>
          <w:rtl w:val="0"/>
        </w:rPr>
        <w:t>ń</w:t>
      </w:r>
      <w:r>
        <w:rPr>
          <w:rStyle w:val="Brak"/>
          <w:sz w:val="24"/>
          <w:szCs w:val="24"/>
          <w:rtl w:val="0"/>
        </w:rPr>
        <w:t>ska 14</w:t>
      </w:r>
    </w:p>
    <w:p>
      <w:pPr>
        <w:pStyle w:val="normal.0"/>
        <w:shd w:val="clear" w:color="auto" w:fill="ffffff"/>
        <w:spacing w:after="100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"http://www.psmm.pl/"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www.psmm.pl</w:t>
      </w:r>
      <w:r>
        <w:rPr/>
        <w:fldChar w:fldCharType="end" w:fldLock="0"/>
      </w:r>
    </w:p>
    <w:p>
      <w:pPr>
        <w:pStyle w:val="normal.0"/>
        <w:shd w:val="clear" w:color="auto" w:fill="ffffff"/>
        <w:spacing w:after="100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"http://www.twitter.com/PSMMonitoring"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www.twitter.com/PSMMonitoring</w:t>
      </w:r>
      <w:r>
        <w:rPr/>
        <w:fldChar w:fldCharType="end" w:fldLock="0"/>
      </w:r>
    </w:p>
    <w:p>
      <w:pPr>
        <w:pStyle w:val="normal.0"/>
        <w:shd w:val="clear" w:color="auto" w:fill="ffffff"/>
        <w:spacing w:after="100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"http://www.facebook.com/PSMMonitoring"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www.facebook.com/PSMMonitoring</w:t>
      </w:r>
      <w:r>
        <w:rPr/>
        <w:fldChar w:fldCharType="end" w:fldLock="0"/>
      </w:r>
    </w:p>
    <w:p>
      <w:pPr>
        <w:pStyle w:val="normal.0"/>
        <w:shd w:val="clear" w:color="auto" w:fill="ffffff"/>
        <w:spacing w:after="100"/>
        <w:jc w:val="both"/>
        <w:rPr>
          <w:rStyle w:val="Brak A"/>
          <w:sz w:val="24"/>
          <w:szCs w:val="24"/>
        </w:rPr>
      </w:pPr>
    </w:p>
    <w:p>
      <w:pPr>
        <w:pStyle w:val="normal.0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 xml:space="preserve"> </w:t>
      </w:r>
    </w:p>
    <w:p>
      <w:pPr>
        <w:pStyle w:val="normal.0"/>
        <w:shd w:val="clear" w:color="auto" w:fill="ffffff"/>
        <w:spacing w:after="100"/>
        <w:jc w:val="both"/>
        <w:rPr>
          <w:rStyle w:val="Brak"/>
          <w:b w:val="1"/>
          <w:bCs w:val="1"/>
          <w:sz w:val="24"/>
          <w:szCs w:val="24"/>
        </w:rPr>
      </w:pPr>
      <w:r>
        <w:rPr>
          <w:rStyle w:val="Brak"/>
          <w:b w:val="1"/>
          <w:bCs w:val="1"/>
          <w:sz w:val="24"/>
          <w:szCs w:val="24"/>
          <w:rtl w:val="0"/>
        </w:rPr>
        <w:t xml:space="preserve">Redakcja </w:t>
      </w:r>
      <w:r>
        <w:rPr>
          <w:rStyle w:val="Brak"/>
          <w:b w:val="1"/>
          <w:bCs w:val="1"/>
          <w:sz w:val="24"/>
          <w:szCs w:val="24"/>
          <w:rtl w:val="0"/>
        </w:rPr>
        <w:t>„</w:t>
      </w:r>
      <w:r>
        <w:rPr>
          <w:rStyle w:val="Brak"/>
          <w:b w:val="1"/>
          <w:bCs w:val="1"/>
          <w:sz w:val="24"/>
          <w:szCs w:val="24"/>
          <w:rtl w:val="0"/>
          <w:lang w:val="de-DE"/>
        </w:rPr>
        <w:t>Press</w:t>
      </w:r>
      <w:r>
        <w:rPr>
          <w:rStyle w:val="Brak"/>
          <w:b w:val="1"/>
          <w:bCs w:val="1"/>
          <w:sz w:val="24"/>
          <w:szCs w:val="24"/>
          <w:rtl w:val="0"/>
        </w:rPr>
        <w:t>”</w:t>
      </w:r>
    </w:p>
    <w:p>
      <w:pPr>
        <w:pStyle w:val="normal.0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+48 22 334 83 33</w:t>
      </w:r>
    </w:p>
    <w:p>
      <w:pPr>
        <w:pStyle w:val="normal.0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biuro@press.pl</w:t>
      </w:r>
    </w:p>
    <w:p>
      <w:pPr>
        <w:pStyle w:val="normal.0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Press sp. z o.o. sp. k.</w:t>
      </w:r>
    </w:p>
    <w:p>
      <w:pPr>
        <w:pStyle w:val="normal.0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60-523 Pozna</w:t>
      </w:r>
      <w:r>
        <w:rPr>
          <w:rStyle w:val="Brak"/>
          <w:sz w:val="24"/>
          <w:szCs w:val="24"/>
          <w:rtl w:val="0"/>
        </w:rPr>
        <w:t>ń</w:t>
      </w:r>
      <w:r>
        <w:rPr>
          <w:rStyle w:val="Brak"/>
          <w:sz w:val="24"/>
          <w:szCs w:val="24"/>
          <w:rtl w:val="0"/>
        </w:rPr>
        <w:t>, ul. D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browskiego 75/66</w:t>
      </w:r>
    </w:p>
    <w:p>
      <w:pPr>
        <w:pStyle w:val="normal.0"/>
        <w:shd w:val="clear" w:color="auto" w:fill="ffffff"/>
        <w:spacing w:after="100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"http://www.press.pl/"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www.press.pl</w:t>
      </w:r>
      <w:r>
        <w:rPr/>
        <w:fldChar w:fldCharType="end" w:fldLock="0"/>
      </w:r>
    </w:p>
    <w:p>
      <w:pPr>
        <w:pStyle w:val="normal.0"/>
        <w:shd w:val="clear" w:color="auto" w:fill="ffffff"/>
        <w:spacing w:after="100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"http://www.facebook.com/MagazynPress"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www.facebook.com/MagazynPress</w:t>
      </w:r>
      <w:r>
        <w:rPr/>
        <w:fldChar w:fldCharType="end" w:fldLock="0"/>
      </w:r>
    </w:p>
    <w:p>
      <w:pPr>
        <w:pStyle w:val="normal.0"/>
        <w:shd w:val="clear" w:color="auto" w:fill="ffffff"/>
        <w:spacing w:after="100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"http://www.twitter.com/pressredakcja"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www.twitter.com/pressredakcja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 A">
    <w:name w:val="Brak A"/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b w:val="1"/>
      <w:bCs w:val="1"/>
      <w:outline w:val="0"/>
      <w:color w:val="1155cc"/>
      <w:sz w:val="24"/>
      <w:szCs w:val="24"/>
      <w:u w:val="single" w:color="1155cc"/>
      <w:lang w:val="it-IT"/>
      <w14:textFill>
        <w14:solidFill>
          <w14:srgbClr w14:val="1155CC"/>
        </w14:solidFill>
      </w14:textFill>
    </w:rPr>
  </w:style>
  <w:style w:type="character" w:styleId="Hyperlink.0.0">
    <w:name w:val="Hyperlink.0.0"/>
    <w:rPr>
      <w:rFonts w:ascii="Arial" w:cs="Arial" w:hAnsi="Arial" w:eastAsia="Arial"/>
      <w:b w:val="1"/>
      <w:bCs w:val="1"/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Brak"/>
    <w:next w:val="Hyperlink.1"/>
    <w:rPr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