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ACFE" w14:textId="77777777"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953395">
        <w:rPr>
          <w:rFonts w:ascii="Verdana" w:hAnsi="Verdana"/>
          <w:sz w:val="20"/>
          <w:szCs w:val="20"/>
        </w:rPr>
        <w:t>9</w:t>
      </w:r>
      <w:r w:rsidR="00013118">
        <w:rPr>
          <w:rFonts w:ascii="Verdana" w:hAnsi="Verdana"/>
          <w:sz w:val="20"/>
          <w:szCs w:val="20"/>
        </w:rPr>
        <w:t xml:space="preserve"> </w:t>
      </w:r>
      <w:r w:rsidR="000D3789">
        <w:rPr>
          <w:rFonts w:ascii="Verdana" w:hAnsi="Verdana"/>
          <w:sz w:val="20"/>
          <w:szCs w:val="20"/>
        </w:rPr>
        <w:t>września</w:t>
      </w:r>
      <w:r w:rsidR="00013118">
        <w:rPr>
          <w:rFonts w:ascii="Verdana" w:hAnsi="Verdana"/>
          <w:sz w:val="20"/>
          <w:szCs w:val="20"/>
        </w:rPr>
        <w:t xml:space="preserve"> </w:t>
      </w:r>
      <w:r w:rsidR="0051112F">
        <w:rPr>
          <w:rFonts w:ascii="Verdana" w:hAnsi="Verdana"/>
          <w:sz w:val="20"/>
          <w:szCs w:val="20"/>
        </w:rPr>
        <w:t>202</w:t>
      </w:r>
      <w:r w:rsidR="00050586">
        <w:rPr>
          <w:rFonts w:ascii="Verdana" w:hAnsi="Verdana"/>
          <w:sz w:val="20"/>
          <w:szCs w:val="20"/>
        </w:rPr>
        <w:t>2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14:paraId="7D1B6AD4" w14:textId="77777777"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14:paraId="1FDE5010" w14:textId="77777777" w:rsidR="00E93A5D" w:rsidRPr="00E76BAE" w:rsidRDefault="000D3789" w:rsidP="002100F7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Lech i Legia </w:t>
      </w:r>
      <w:r w:rsidR="00953395">
        <w:rPr>
          <w:rFonts w:ascii="Verdana" w:hAnsi="Verdana"/>
        </w:rPr>
        <w:t xml:space="preserve">w sierpniu </w:t>
      </w:r>
      <w:r>
        <w:rPr>
          <w:rFonts w:ascii="Verdana" w:hAnsi="Verdana"/>
        </w:rPr>
        <w:t>bez konkurencji</w:t>
      </w:r>
      <w:r w:rsidR="004F7F58">
        <w:rPr>
          <w:rFonts w:ascii="Verdana" w:hAnsi="Verdana"/>
        </w:rPr>
        <w:t xml:space="preserve">, Lewandowski na </w:t>
      </w:r>
      <w:r w:rsidR="00953395">
        <w:rPr>
          <w:rFonts w:ascii="Verdana" w:hAnsi="Verdana"/>
        </w:rPr>
        <w:t>topie</w:t>
      </w:r>
    </w:p>
    <w:p w14:paraId="2EB231D5" w14:textId="77777777" w:rsidR="000D3789" w:rsidRDefault="004F7D77" w:rsidP="00FD7F2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Lech Poznań </w:t>
      </w:r>
      <w:r w:rsidR="000D3789">
        <w:rPr>
          <w:rFonts w:ascii="Verdana" w:hAnsi="Verdana"/>
          <w:b/>
          <w:sz w:val="20"/>
          <w:szCs w:val="20"/>
        </w:rPr>
        <w:t>i Legia Warszawa nadal są najbardziej medialnymi klubami w PKO BP Ekstraklasie. Mistrz Polski utrzymał pozycję lidera dzięki występom w europejskich pucharach, które wysoko wywindowały także Raków Częstochowa – wynika z raportu PRESS-SERVICE Monitoring Mediów. W Fortuna I Lidze niepodzielnie rządzi Wisła Kraków, której popularność dorównuje czołowym klubom Ekstraklasy. Wśród piłkarzy równych sobie cały czas nie ma Robert Lewandowski</w:t>
      </w:r>
      <w:r w:rsidR="004F7F58">
        <w:rPr>
          <w:rFonts w:ascii="Verdana" w:hAnsi="Verdana"/>
          <w:b/>
          <w:sz w:val="20"/>
          <w:szCs w:val="20"/>
        </w:rPr>
        <w:t>, którego popularność po transferze do FC Barcelona wskoczyła na jeszcze wyższy poziom</w:t>
      </w:r>
      <w:r w:rsidR="000D3789">
        <w:rPr>
          <w:rFonts w:ascii="Verdana" w:hAnsi="Verdana"/>
          <w:b/>
          <w:sz w:val="20"/>
          <w:szCs w:val="20"/>
        </w:rPr>
        <w:t xml:space="preserve">. </w:t>
      </w:r>
    </w:p>
    <w:p w14:paraId="052E7ED1" w14:textId="77777777" w:rsidR="00280757" w:rsidRDefault="00280757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Lech Poznań jest od startu nowego sezonu najbardziej zapracowanym polskim klubem. W związku z awansem do Ligi Konferencji Europy </w:t>
      </w:r>
      <w:r w:rsidR="006A7EE9">
        <w:rPr>
          <w:rFonts w:ascii="Verdana" w:hAnsi="Verdana"/>
          <w:sz w:val="20"/>
          <w:szCs w:val="20"/>
        </w:rPr>
        <w:t>„</w:t>
      </w:r>
      <w:proofErr w:type="spellStart"/>
      <w:r w:rsidR="006A7EE9">
        <w:rPr>
          <w:rFonts w:ascii="Verdana" w:hAnsi="Verdana"/>
          <w:sz w:val="20"/>
          <w:szCs w:val="20"/>
        </w:rPr>
        <w:t>Kolejorz</w:t>
      </w:r>
      <w:proofErr w:type="spellEnd"/>
      <w:r w:rsidR="006A7EE9">
        <w:rPr>
          <w:rFonts w:ascii="Verdana" w:hAnsi="Verdana"/>
          <w:sz w:val="20"/>
          <w:szCs w:val="20"/>
        </w:rPr>
        <w:t xml:space="preserve">” zagra w rundzie jesiennej ponad 30 spotkań, co poza aspektami sportowymi wiąże się także ze zwiększoną medialnością. W sierpniu mistrz Polski poza PKO BP Ekstraklasą rozegrał cztery spotkania w europejskich pucharach, co pozwoliło mu na utrzymanie pozycji lidera, jeśli chodzi o medialność klubów PKO BP Ekstraklasy. </w:t>
      </w:r>
    </w:p>
    <w:p w14:paraId="63C3C182" w14:textId="77777777" w:rsidR="006A7EE9" w:rsidRDefault="006A7EE9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Poznaniacy wyprzedzili Legię Warszawa, która była jednak popularniejsza w sieciach społecznościowych. Oba kluby pod względem aktywności społeczności w </w:t>
      </w:r>
      <w:proofErr w:type="spellStart"/>
      <w:r>
        <w:rPr>
          <w:rFonts w:ascii="Verdana" w:hAnsi="Verdana"/>
          <w:sz w:val="20"/>
          <w:szCs w:val="20"/>
        </w:rPr>
        <w:t>social</w:t>
      </w:r>
      <w:proofErr w:type="spellEnd"/>
      <w:r>
        <w:rPr>
          <w:rFonts w:ascii="Verdana" w:hAnsi="Verdana"/>
          <w:sz w:val="20"/>
          <w:szCs w:val="20"/>
        </w:rPr>
        <w:t xml:space="preserve"> media zdecydowanie zdystansowały resztę klubów. Klub z Łazienkowskiej był też najpopularniejszym klubem w prasie, gdzie wyprzedził „</w:t>
      </w:r>
      <w:proofErr w:type="spellStart"/>
      <w:r>
        <w:rPr>
          <w:rFonts w:ascii="Verdana" w:hAnsi="Verdana"/>
          <w:sz w:val="20"/>
          <w:szCs w:val="20"/>
        </w:rPr>
        <w:t>Kolejorza</w:t>
      </w:r>
      <w:proofErr w:type="spellEnd"/>
      <w:r>
        <w:rPr>
          <w:rFonts w:ascii="Verdana" w:hAnsi="Verdana"/>
          <w:sz w:val="20"/>
          <w:szCs w:val="20"/>
        </w:rPr>
        <w:t xml:space="preserve">” oraz Śląsk Wrocław. Głównym tematem w analizowanym okresie poza kolejnymi meczami były oczywiście transfery. </w:t>
      </w:r>
    </w:p>
    <w:p w14:paraId="67E39129" w14:textId="77777777" w:rsidR="006A7EE9" w:rsidRDefault="006A7EE9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Ciekawa sytuacja ma natomiast miejsce na dalszych pozycjach. Trzecie miejsce zajął Śląsk Wrocław, ale tuż za nim znalazł się Raków Częstochowa. „Medaliki” co do zasady są znacznie niżej w rankingu medialności, ale występy w finałowych rundach eliminacji Ligi Konferencji Europy przysporzyły im sporego zainteresowania – także w sieciach społecznościowych. </w:t>
      </w:r>
      <w:r w:rsidR="003A6647">
        <w:rPr>
          <w:rFonts w:ascii="Verdana" w:hAnsi="Verdana"/>
          <w:sz w:val="20"/>
          <w:szCs w:val="20"/>
        </w:rPr>
        <w:t xml:space="preserve">Dla Rakowa to najwyższa pozycja w historii zestawienia „Piłka w grze”. </w:t>
      </w:r>
    </w:p>
    <w:p w14:paraId="2044B22E" w14:textId="77777777" w:rsidR="001125DC" w:rsidRDefault="003A6647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Czołową piątkę zamknęła Cracovia, ale tuż za jej plecami znalazł się Widzew. Łódzki klub od momentu awansu szybko znalazł się wśród najbardziej medialnych klubów, co potwierdzają kolejne miesiące. </w:t>
      </w:r>
      <w:r w:rsidR="00953395">
        <w:rPr>
          <w:rFonts w:ascii="Verdana" w:hAnsi="Verdana"/>
          <w:sz w:val="20"/>
          <w:szCs w:val="20"/>
        </w:rPr>
        <w:t>„</w:t>
      </w:r>
      <w:proofErr w:type="spellStart"/>
      <w:r w:rsidR="001125DC">
        <w:rPr>
          <w:rFonts w:ascii="Verdana" w:hAnsi="Verdana"/>
          <w:sz w:val="20"/>
          <w:szCs w:val="20"/>
        </w:rPr>
        <w:t>Widzewiacy</w:t>
      </w:r>
      <w:proofErr w:type="spellEnd"/>
      <w:r w:rsidR="001125DC">
        <w:rPr>
          <w:rFonts w:ascii="Verdana" w:hAnsi="Verdana"/>
          <w:sz w:val="20"/>
          <w:szCs w:val="20"/>
        </w:rPr>
        <w:t xml:space="preserve">” w sierpniu byli trzecim najpopularniejszym klubem w </w:t>
      </w:r>
      <w:proofErr w:type="spellStart"/>
      <w:r w:rsidR="001125DC">
        <w:rPr>
          <w:rFonts w:ascii="Verdana" w:hAnsi="Verdana"/>
          <w:sz w:val="20"/>
          <w:szCs w:val="20"/>
        </w:rPr>
        <w:t>social</w:t>
      </w:r>
      <w:proofErr w:type="spellEnd"/>
      <w:r w:rsidR="001125DC">
        <w:rPr>
          <w:rFonts w:ascii="Verdana" w:hAnsi="Verdana"/>
          <w:sz w:val="20"/>
          <w:szCs w:val="20"/>
        </w:rPr>
        <w:t xml:space="preserve"> media, a dodatkowo zdecydowanie najczęściej gościli na okładkach gazet, na co oczywiście ogromny wpływ miały lokalne media. </w:t>
      </w:r>
    </w:p>
    <w:p w14:paraId="067451DA" w14:textId="77777777" w:rsidR="007A0BBE" w:rsidRDefault="001125DC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5F9FC720" wp14:editId="0FA6F111">
            <wp:extent cx="5566067" cy="2941883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3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774C215" w14:textId="77777777" w:rsidR="002100F7" w:rsidRPr="00953395" w:rsidRDefault="002100F7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953395">
        <w:rPr>
          <w:rFonts w:ascii="Verdana" w:hAnsi="Verdana" w:cs="Tahoma"/>
          <w:b/>
          <w:sz w:val="16"/>
          <w:szCs w:val="16"/>
        </w:rPr>
        <w:t>Wykres 1. TOP 10 najbardziej medial</w:t>
      </w:r>
      <w:r w:rsidR="00ED0A59" w:rsidRPr="00953395">
        <w:rPr>
          <w:rFonts w:ascii="Verdana" w:hAnsi="Verdana" w:cs="Tahoma"/>
          <w:b/>
          <w:sz w:val="16"/>
          <w:szCs w:val="16"/>
        </w:rPr>
        <w:t>n</w:t>
      </w:r>
      <w:r w:rsidR="008525CD" w:rsidRPr="00953395">
        <w:rPr>
          <w:rFonts w:ascii="Verdana" w:hAnsi="Verdana" w:cs="Tahoma"/>
          <w:b/>
          <w:sz w:val="16"/>
          <w:szCs w:val="16"/>
        </w:rPr>
        <w:t xml:space="preserve">ych drużyn </w:t>
      </w:r>
      <w:r w:rsidR="00497B4B" w:rsidRPr="00953395">
        <w:rPr>
          <w:rFonts w:ascii="Verdana" w:hAnsi="Verdana" w:cs="Tahoma"/>
          <w:b/>
          <w:sz w:val="16"/>
          <w:szCs w:val="16"/>
        </w:rPr>
        <w:t>PKO BP</w:t>
      </w:r>
      <w:r w:rsidR="008525CD" w:rsidRPr="00953395">
        <w:rPr>
          <w:rFonts w:ascii="Verdana" w:hAnsi="Verdana" w:cs="Tahoma"/>
          <w:b/>
          <w:sz w:val="16"/>
          <w:szCs w:val="16"/>
        </w:rPr>
        <w:t xml:space="preserve"> Ekstraklasy w </w:t>
      </w:r>
      <w:r w:rsidR="001125DC" w:rsidRPr="00953395">
        <w:rPr>
          <w:rFonts w:ascii="Verdana" w:hAnsi="Verdana" w:cs="Tahoma"/>
          <w:b/>
          <w:sz w:val="16"/>
          <w:szCs w:val="16"/>
        </w:rPr>
        <w:t>sierpniu</w:t>
      </w:r>
      <w:r w:rsidR="00497B4B" w:rsidRPr="00953395">
        <w:rPr>
          <w:rFonts w:ascii="Verdana" w:hAnsi="Verdana" w:cs="Tahoma"/>
          <w:b/>
          <w:sz w:val="16"/>
          <w:szCs w:val="16"/>
        </w:rPr>
        <w:t xml:space="preserve"> 2022 r.</w:t>
      </w:r>
      <w:r w:rsidR="00341340" w:rsidRPr="00953395">
        <w:rPr>
          <w:rFonts w:ascii="Verdana" w:hAnsi="Verdana" w:cs="Tahoma"/>
          <w:b/>
          <w:sz w:val="16"/>
          <w:szCs w:val="16"/>
        </w:rPr>
        <w:t xml:space="preserve"> </w:t>
      </w:r>
      <w:r w:rsidRPr="00953395">
        <w:rPr>
          <w:rFonts w:ascii="Verdana" w:hAnsi="Verdana" w:cs="Tahoma"/>
          <w:b/>
          <w:sz w:val="16"/>
          <w:szCs w:val="16"/>
        </w:rPr>
        <w:t>(prasa i wybrane strony internetowe)</w:t>
      </w:r>
    </w:p>
    <w:p w14:paraId="154667B6" w14:textId="77777777" w:rsidR="00CD6C7E" w:rsidRDefault="001125DC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Fortuna I Lidze równych sobie nie ma Wisła Kraków. Spadkowicze z PKO BP Ekstraklasy zazwyczaj notują znaczny spadek popularności po degradacji klasę rozgrywkową niżej, ale ta zasada najwyraźniej nie dotyczy „Białej Gwiazdy”. Krakowski klub ze swoim wy</w:t>
      </w:r>
      <w:r w:rsidR="00953395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ikiem znalazłby się na piątym miejscu w rankingu medialności PKO BP Ekstraklasy, tuż przed lokalnym rywalem. Mocno swoją obecność na zapleczu Ekstraklasy zaznacza także Ruch Chorzów</w:t>
      </w:r>
      <w:r w:rsidR="00B93974">
        <w:rPr>
          <w:rFonts w:ascii="Verdana" w:hAnsi="Verdana"/>
          <w:sz w:val="20"/>
          <w:szCs w:val="20"/>
        </w:rPr>
        <w:t xml:space="preserve">, który jest drugim najpopularniejszym klubem w tej klasie rozgrywkowej. Czołową piątkę w sierpniu uzupełniły: Górnik Łęczna, </w:t>
      </w:r>
      <w:proofErr w:type="spellStart"/>
      <w:r w:rsidR="00B93974">
        <w:rPr>
          <w:rFonts w:ascii="Verdana" w:hAnsi="Verdana"/>
          <w:sz w:val="20"/>
          <w:szCs w:val="20"/>
        </w:rPr>
        <w:t>Resovia</w:t>
      </w:r>
      <w:proofErr w:type="spellEnd"/>
      <w:r w:rsidR="00B93974">
        <w:rPr>
          <w:rFonts w:ascii="Verdana" w:hAnsi="Verdana"/>
          <w:sz w:val="20"/>
          <w:szCs w:val="20"/>
        </w:rPr>
        <w:t xml:space="preserve"> oraz Arka Gdynia. </w:t>
      </w:r>
    </w:p>
    <w:p w14:paraId="490580EA" w14:textId="77777777" w:rsidR="00C23ED8" w:rsidRPr="002100F7" w:rsidRDefault="005044D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1125DC">
        <w:rPr>
          <w:noProof/>
          <w:lang w:eastAsia="pl-PL"/>
        </w:rPr>
        <w:drawing>
          <wp:inline distT="0" distB="0" distL="0" distR="0" wp14:anchorId="127AD5DF" wp14:editId="0D6B8470">
            <wp:extent cx="5571649" cy="2942033"/>
            <wp:effectExtent l="0" t="0" r="0" b="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33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32F7C01" w14:textId="77777777" w:rsidR="00247F88" w:rsidRPr="00953395" w:rsidRDefault="00247F88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953395">
        <w:rPr>
          <w:rFonts w:ascii="Verdana" w:hAnsi="Verdana" w:cs="Tahoma"/>
          <w:b/>
          <w:sz w:val="16"/>
          <w:szCs w:val="16"/>
        </w:rPr>
        <w:t xml:space="preserve">Wykres </w:t>
      </w:r>
      <w:r w:rsidR="009B4EFD" w:rsidRPr="00953395">
        <w:rPr>
          <w:rFonts w:ascii="Verdana" w:hAnsi="Verdana" w:cs="Tahoma"/>
          <w:b/>
          <w:sz w:val="16"/>
          <w:szCs w:val="16"/>
        </w:rPr>
        <w:t>2</w:t>
      </w:r>
      <w:r w:rsidRPr="00953395">
        <w:rPr>
          <w:rFonts w:ascii="Verdana" w:hAnsi="Verdana" w:cs="Tahoma"/>
          <w:b/>
          <w:sz w:val="16"/>
          <w:szCs w:val="16"/>
        </w:rPr>
        <w:t xml:space="preserve">. TOP 10 najbardziej medialnych drużyn </w:t>
      </w:r>
      <w:r w:rsidR="003D50BD" w:rsidRPr="00953395">
        <w:rPr>
          <w:rFonts w:ascii="Verdana" w:hAnsi="Verdana" w:cs="Tahoma"/>
          <w:b/>
          <w:sz w:val="16"/>
          <w:szCs w:val="16"/>
        </w:rPr>
        <w:t>Fortun</w:t>
      </w:r>
      <w:r w:rsidR="00154C38" w:rsidRPr="00953395">
        <w:rPr>
          <w:rFonts w:ascii="Verdana" w:hAnsi="Verdana" w:cs="Tahoma"/>
          <w:b/>
          <w:sz w:val="16"/>
          <w:szCs w:val="16"/>
        </w:rPr>
        <w:t>a</w:t>
      </w:r>
      <w:r w:rsidRPr="00953395">
        <w:rPr>
          <w:rFonts w:ascii="Verdana" w:hAnsi="Verdana" w:cs="Tahoma"/>
          <w:b/>
          <w:sz w:val="16"/>
          <w:szCs w:val="16"/>
        </w:rPr>
        <w:t xml:space="preserve"> 1. ligi w</w:t>
      </w:r>
      <w:r w:rsidR="005A2972" w:rsidRPr="00953395">
        <w:rPr>
          <w:rFonts w:ascii="Verdana" w:hAnsi="Verdana" w:cs="Tahoma"/>
          <w:b/>
          <w:sz w:val="16"/>
          <w:szCs w:val="16"/>
        </w:rPr>
        <w:t xml:space="preserve"> </w:t>
      </w:r>
      <w:r w:rsidR="00B93974" w:rsidRPr="00953395">
        <w:rPr>
          <w:rFonts w:ascii="Verdana" w:hAnsi="Verdana" w:cs="Tahoma"/>
          <w:b/>
          <w:sz w:val="16"/>
          <w:szCs w:val="16"/>
        </w:rPr>
        <w:t>sierpniu</w:t>
      </w:r>
      <w:r w:rsidR="007E2140" w:rsidRPr="00953395">
        <w:rPr>
          <w:rFonts w:ascii="Verdana" w:hAnsi="Verdana" w:cs="Tahoma"/>
          <w:b/>
          <w:sz w:val="16"/>
          <w:szCs w:val="16"/>
        </w:rPr>
        <w:t xml:space="preserve"> </w:t>
      </w:r>
      <w:r w:rsidR="00323667" w:rsidRPr="00953395">
        <w:rPr>
          <w:rFonts w:ascii="Verdana" w:hAnsi="Verdana" w:cs="Tahoma"/>
          <w:b/>
          <w:sz w:val="16"/>
          <w:szCs w:val="16"/>
        </w:rPr>
        <w:t>202</w:t>
      </w:r>
      <w:r w:rsidR="00154C38" w:rsidRPr="00953395">
        <w:rPr>
          <w:rFonts w:ascii="Verdana" w:hAnsi="Verdana" w:cs="Tahoma"/>
          <w:b/>
          <w:sz w:val="16"/>
          <w:szCs w:val="16"/>
        </w:rPr>
        <w:t>2</w:t>
      </w:r>
      <w:r w:rsidR="00341340" w:rsidRPr="00953395">
        <w:rPr>
          <w:rFonts w:ascii="Verdana" w:hAnsi="Verdana" w:cs="Tahoma"/>
          <w:b/>
          <w:sz w:val="16"/>
          <w:szCs w:val="16"/>
        </w:rPr>
        <w:t xml:space="preserve"> </w:t>
      </w:r>
      <w:r w:rsidRPr="00953395">
        <w:rPr>
          <w:rFonts w:ascii="Verdana" w:hAnsi="Verdana" w:cs="Tahoma"/>
          <w:b/>
          <w:sz w:val="16"/>
          <w:szCs w:val="16"/>
        </w:rPr>
        <w:t>(prasa i wybrane strony internetowe)</w:t>
      </w:r>
    </w:p>
    <w:p w14:paraId="7FB51AE2" w14:textId="77777777" w:rsidR="00B93974" w:rsidRDefault="00804019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Robert Lewandowski od wielu lat zdominował zestawienie medialności</w:t>
      </w:r>
      <w:r w:rsidR="00672DA4">
        <w:rPr>
          <w:rFonts w:ascii="Verdana" w:hAnsi="Verdana"/>
          <w:sz w:val="20"/>
          <w:szCs w:val="20"/>
        </w:rPr>
        <w:t xml:space="preserve"> polskich piłkarzy występujących w pięciu najsilniejszych europejskich ligach</w:t>
      </w:r>
      <w:r>
        <w:rPr>
          <w:rFonts w:ascii="Verdana" w:hAnsi="Verdana"/>
          <w:sz w:val="20"/>
          <w:szCs w:val="20"/>
        </w:rPr>
        <w:t>, ale</w:t>
      </w:r>
      <w:r w:rsidR="00B93974">
        <w:rPr>
          <w:rFonts w:ascii="Verdana" w:hAnsi="Verdana"/>
          <w:sz w:val="20"/>
          <w:szCs w:val="20"/>
        </w:rPr>
        <w:t xml:space="preserve"> w związku z transferem </w:t>
      </w:r>
      <w:r w:rsidR="00B93974">
        <w:rPr>
          <w:rFonts w:ascii="Verdana" w:hAnsi="Verdana"/>
          <w:sz w:val="20"/>
          <w:szCs w:val="20"/>
        </w:rPr>
        <w:lastRenderedPageBreak/>
        <w:t>do FC Barcelona zainteresowanie piłkarzem</w:t>
      </w:r>
      <w:r w:rsidR="00442BE5">
        <w:rPr>
          <w:rFonts w:ascii="Verdana" w:hAnsi="Verdana"/>
          <w:sz w:val="20"/>
          <w:szCs w:val="20"/>
        </w:rPr>
        <w:t xml:space="preserve"> wskoczyło na zupełnie nowy poziom. </w:t>
      </w:r>
      <w:r w:rsidR="004F7F58">
        <w:rPr>
          <w:rFonts w:ascii="Verdana" w:hAnsi="Verdana"/>
          <w:sz w:val="20"/>
          <w:szCs w:val="20"/>
        </w:rPr>
        <w:t>Dość powiedzieć, że „Lewy” odnotował w sierpniu zdecydowanie ponad dwa razy więcej publikacji niż rok temu w analogicznym okresie. W TOP 3 znaleźli się jeszcze Arkadi</w:t>
      </w:r>
      <w:r w:rsidR="00953395">
        <w:rPr>
          <w:rFonts w:ascii="Verdana" w:hAnsi="Verdana"/>
          <w:sz w:val="20"/>
          <w:szCs w:val="20"/>
        </w:rPr>
        <w:t>usz Milik i Piotr Zieliński, a do czołowej piątki</w:t>
      </w:r>
      <w:r w:rsidR="004F7F58">
        <w:rPr>
          <w:rFonts w:ascii="Verdana" w:hAnsi="Verdana"/>
          <w:sz w:val="20"/>
          <w:szCs w:val="20"/>
        </w:rPr>
        <w:t xml:space="preserve"> po raz pierwszy </w:t>
      </w:r>
      <w:r w:rsidR="00953395">
        <w:rPr>
          <w:rFonts w:ascii="Verdana" w:hAnsi="Verdana"/>
          <w:sz w:val="20"/>
          <w:szCs w:val="20"/>
        </w:rPr>
        <w:t xml:space="preserve">wszedł </w:t>
      </w:r>
      <w:r w:rsidR="004F7F58">
        <w:rPr>
          <w:rFonts w:ascii="Verdana" w:hAnsi="Verdana"/>
          <w:sz w:val="20"/>
          <w:szCs w:val="20"/>
        </w:rPr>
        <w:t xml:space="preserve">Jakub Kamiński. Były piłkarz Lecha Poznań wzbudza zainteresowanie mediów w związku ze swoimi pierwszymi występami w </w:t>
      </w:r>
      <w:proofErr w:type="spellStart"/>
      <w:r w:rsidR="004F7F58">
        <w:rPr>
          <w:rFonts w:ascii="Verdana" w:hAnsi="Verdana"/>
          <w:sz w:val="20"/>
          <w:szCs w:val="20"/>
        </w:rPr>
        <w:t>VfL</w:t>
      </w:r>
      <w:proofErr w:type="spellEnd"/>
      <w:r w:rsidR="004F7F58">
        <w:rPr>
          <w:rFonts w:ascii="Verdana" w:hAnsi="Verdana"/>
          <w:sz w:val="20"/>
          <w:szCs w:val="20"/>
        </w:rPr>
        <w:t xml:space="preserve"> Wolfsburg. </w:t>
      </w:r>
    </w:p>
    <w:p w14:paraId="61D55F4A" w14:textId="77777777" w:rsidR="005D5DD0" w:rsidRDefault="004F7F58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0C4678B" wp14:editId="39C53BCE">
            <wp:extent cx="5566067" cy="2942033"/>
            <wp:effectExtent l="0" t="0" r="0" b="0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3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1B57837" w14:textId="77777777" w:rsidR="00247F88" w:rsidRDefault="00247F88" w:rsidP="00EC3B6B">
      <w:pPr>
        <w:jc w:val="both"/>
        <w:rPr>
          <w:rFonts w:ascii="Verdana" w:hAnsi="Verdana" w:cs="Tahoma"/>
          <w:b/>
          <w:sz w:val="16"/>
          <w:szCs w:val="16"/>
        </w:rPr>
      </w:pPr>
      <w:r w:rsidRPr="00953395">
        <w:rPr>
          <w:rFonts w:ascii="Verdana" w:hAnsi="Verdana" w:cs="Tahoma"/>
          <w:b/>
          <w:sz w:val="16"/>
          <w:szCs w:val="16"/>
        </w:rPr>
        <w:t xml:space="preserve">Wykres </w:t>
      </w:r>
      <w:r w:rsidR="009B4EFD" w:rsidRPr="00953395">
        <w:rPr>
          <w:rFonts w:ascii="Verdana" w:hAnsi="Verdana" w:cs="Tahoma"/>
          <w:b/>
          <w:sz w:val="16"/>
          <w:szCs w:val="16"/>
        </w:rPr>
        <w:t>3</w:t>
      </w:r>
      <w:r w:rsidRPr="00953395">
        <w:rPr>
          <w:rFonts w:ascii="Verdana" w:hAnsi="Verdana" w:cs="Tahoma"/>
          <w:b/>
          <w:sz w:val="16"/>
          <w:szCs w:val="16"/>
        </w:rPr>
        <w:t>. TOP 10 najbardziej medialnych polskich piłkarzy występujących w pięciu najmoc</w:t>
      </w:r>
      <w:r w:rsidR="00ED0A59" w:rsidRPr="00953395">
        <w:rPr>
          <w:rFonts w:ascii="Verdana" w:hAnsi="Verdana" w:cs="Tahoma"/>
          <w:b/>
          <w:sz w:val="16"/>
          <w:szCs w:val="16"/>
        </w:rPr>
        <w:t>n</w:t>
      </w:r>
      <w:r w:rsidR="008525CD" w:rsidRPr="00953395">
        <w:rPr>
          <w:rFonts w:ascii="Verdana" w:hAnsi="Verdana" w:cs="Tahoma"/>
          <w:b/>
          <w:sz w:val="16"/>
          <w:szCs w:val="16"/>
        </w:rPr>
        <w:t xml:space="preserve">iejszych ligach europejskich w </w:t>
      </w:r>
      <w:r w:rsidR="004F7F58" w:rsidRPr="00953395">
        <w:rPr>
          <w:rFonts w:ascii="Verdana" w:hAnsi="Verdana" w:cs="Tahoma"/>
          <w:b/>
          <w:sz w:val="16"/>
          <w:szCs w:val="16"/>
        </w:rPr>
        <w:t>sierpniu</w:t>
      </w:r>
      <w:r w:rsidR="007E2140" w:rsidRPr="00953395">
        <w:rPr>
          <w:rFonts w:ascii="Verdana" w:hAnsi="Verdana" w:cs="Tahoma"/>
          <w:b/>
          <w:sz w:val="16"/>
          <w:szCs w:val="16"/>
        </w:rPr>
        <w:t xml:space="preserve"> </w:t>
      </w:r>
      <w:r w:rsidR="00323667" w:rsidRPr="00953395">
        <w:rPr>
          <w:rFonts w:ascii="Verdana" w:hAnsi="Verdana" w:cs="Tahoma"/>
          <w:b/>
          <w:sz w:val="16"/>
          <w:szCs w:val="16"/>
        </w:rPr>
        <w:t>202</w:t>
      </w:r>
      <w:r w:rsidR="00154C38" w:rsidRPr="00953395">
        <w:rPr>
          <w:rFonts w:ascii="Verdana" w:hAnsi="Verdana" w:cs="Tahoma"/>
          <w:b/>
          <w:sz w:val="16"/>
          <w:szCs w:val="16"/>
        </w:rPr>
        <w:t>2 r.</w:t>
      </w:r>
      <w:r w:rsidR="003E182D" w:rsidRPr="00953395">
        <w:rPr>
          <w:rFonts w:ascii="Verdana" w:hAnsi="Verdana" w:cs="Tahoma"/>
          <w:b/>
          <w:sz w:val="16"/>
          <w:szCs w:val="16"/>
        </w:rPr>
        <w:t xml:space="preserve"> </w:t>
      </w:r>
      <w:r w:rsidRPr="00953395">
        <w:rPr>
          <w:rFonts w:ascii="Verdana" w:hAnsi="Verdana" w:cs="Tahoma"/>
          <w:b/>
          <w:sz w:val="16"/>
          <w:szCs w:val="16"/>
        </w:rPr>
        <w:t>(prasa i wybrane strony internetowe)</w:t>
      </w:r>
    </w:p>
    <w:p w14:paraId="39D1CA1F" w14:textId="77777777" w:rsidR="00953395" w:rsidRDefault="00953395" w:rsidP="00EC3B6B">
      <w:pPr>
        <w:jc w:val="both"/>
        <w:rPr>
          <w:rFonts w:ascii="Verdana" w:hAnsi="Verdana" w:cs="Tahoma"/>
          <w:b/>
          <w:sz w:val="16"/>
          <w:szCs w:val="16"/>
        </w:rPr>
      </w:pPr>
    </w:p>
    <w:p w14:paraId="4043CF91" w14:textId="77777777" w:rsidR="00953395" w:rsidRDefault="00953395" w:rsidP="00EC3B6B">
      <w:pPr>
        <w:jc w:val="both"/>
        <w:rPr>
          <w:rFonts w:ascii="Verdana" w:hAnsi="Verdana" w:cs="Tahoma"/>
          <w:b/>
          <w:sz w:val="16"/>
          <w:szCs w:val="16"/>
        </w:rPr>
      </w:pPr>
    </w:p>
    <w:p w14:paraId="047ED262" w14:textId="77777777" w:rsidR="00953395" w:rsidRPr="00953395" w:rsidRDefault="00953395" w:rsidP="00EC3B6B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--------------------------------------------------------------------</w:t>
      </w:r>
    </w:p>
    <w:p w14:paraId="1059B1E0" w14:textId="77777777" w:rsidR="00050586" w:rsidRPr="00247F88" w:rsidRDefault="00050586" w:rsidP="00050586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>
        <w:rPr>
          <w:rFonts w:ascii="Verdana" w:hAnsi="Verdana"/>
          <w:sz w:val="20"/>
          <w:szCs w:val="20"/>
        </w:rPr>
        <w:t>, Instagram.com, Wykop.pl</w:t>
      </w:r>
      <w:r w:rsidRPr="00247F88">
        <w:rPr>
          <w:rFonts w:ascii="Verdana" w:hAnsi="Verdana"/>
          <w:sz w:val="20"/>
          <w:szCs w:val="20"/>
        </w:rPr>
        <w:t xml:space="preserve">) . Badanie prowadzone jest cyklicznie począwszy od 1 marca 2010 roku. </w:t>
      </w:r>
    </w:p>
    <w:p w14:paraId="5C09A1A9" w14:textId="77777777" w:rsidR="00050586" w:rsidRPr="00247F88" w:rsidRDefault="00050586" w:rsidP="00050586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14:paraId="788BAE94" w14:textId="77777777" w:rsidR="00050586" w:rsidRPr="00EC3B6B" w:rsidRDefault="00050586" w:rsidP="00050586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14:paraId="21B549F8" w14:textId="77777777" w:rsidR="00050586" w:rsidRDefault="00050586" w:rsidP="00050586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14:paraId="42E37FA4" w14:textId="77777777" w:rsidR="00050586" w:rsidRDefault="00050586" w:rsidP="00050586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Katarzyna Popławska</w:t>
      </w:r>
      <w:r>
        <w:rPr>
          <w:rFonts w:ascii="Verdana" w:hAnsi="Verdana"/>
          <w:sz w:val="20"/>
          <w:szCs w:val="20"/>
        </w:rPr>
        <w:br/>
        <w:t>Kierownik Działu Marketingu i PR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t>kom: +48 697 410 680</w:t>
      </w:r>
      <w:r>
        <w:rPr>
          <w:rFonts w:ascii="Verdana" w:hAnsi="Verdana"/>
          <w:sz w:val="20"/>
          <w:szCs w:val="20"/>
        </w:rPr>
        <w:br/>
      </w:r>
      <w:hyperlink r:id="rId10" w:history="1">
        <w:r w:rsidRPr="00FD0AC7">
          <w:rPr>
            <w:rStyle w:val="Hipercze"/>
            <w:rFonts w:ascii="Verdana" w:hAnsi="Verdana"/>
            <w:sz w:val="20"/>
            <w:szCs w:val="20"/>
          </w:rPr>
          <w:t>kpoplawska@psmm.pl</w:t>
        </w:r>
      </w:hyperlink>
    </w:p>
    <w:p w14:paraId="2CA49A89" w14:textId="77777777" w:rsidR="00050586" w:rsidRPr="00247F88" w:rsidRDefault="00050586" w:rsidP="00050586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</w:p>
    <w:p w14:paraId="41C93916" w14:textId="77777777" w:rsidR="00247F88" w:rsidRPr="00247F88" w:rsidRDefault="00247F88" w:rsidP="00050586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</w:p>
    <w:sectPr w:rsidR="00247F88" w:rsidRPr="00247F88" w:rsidSect="00004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8002A" w14:textId="77777777" w:rsidR="004F6E33" w:rsidRDefault="004F6E33" w:rsidP="00D269C7">
      <w:pPr>
        <w:spacing w:after="0" w:line="240" w:lineRule="auto"/>
      </w:pPr>
      <w:r>
        <w:separator/>
      </w:r>
    </w:p>
  </w:endnote>
  <w:endnote w:type="continuationSeparator" w:id="0">
    <w:p w14:paraId="387C9E26" w14:textId="77777777" w:rsidR="004F6E33" w:rsidRDefault="004F6E33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DA1F" w14:textId="77777777" w:rsidR="004F6E33" w:rsidRDefault="004F6E33" w:rsidP="00D269C7">
      <w:pPr>
        <w:spacing w:after="0" w:line="240" w:lineRule="auto"/>
      </w:pPr>
      <w:r>
        <w:separator/>
      </w:r>
    </w:p>
  </w:footnote>
  <w:footnote w:type="continuationSeparator" w:id="0">
    <w:p w14:paraId="26B94DE1" w14:textId="77777777" w:rsidR="004F6E33" w:rsidRDefault="004F6E33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4A"/>
    <w:rsid w:val="00004FD0"/>
    <w:rsid w:val="000063C0"/>
    <w:rsid w:val="00013118"/>
    <w:rsid w:val="00015F39"/>
    <w:rsid w:val="00020614"/>
    <w:rsid w:val="00020DC0"/>
    <w:rsid w:val="00022A3D"/>
    <w:rsid w:val="00036FF5"/>
    <w:rsid w:val="00050586"/>
    <w:rsid w:val="000534F9"/>
    <w:rsid w:val="00053B00"/>
    <w:rsid w:val="0006396B"/>
    <w:rsid w:val="00070C18"/>
    <w:rsid w:val="00074E58"/>
    <w:rsid w:val="00075062"/>
    <w:rsid w:val="000945AD"/>
    <w:rsid w:val="00094EF6"/>
    <w:rsid w:val="000A1BF2"/>
    <w:rsid w:val="000D3789"/>
    <w:rsid w:val="000E3B9E"/>
    <w:rsid w:val="001019F2"/>
    <w:rsid w:val="001064EA"/>
    <w:rsid w:val="00110FCF"/>
    <w:rsid w:val="001125DC"/>
    <w:rsid w:val="00114B6F"/>
    <w:rsid w:val="00120E44"/>
    <w:rsid w:val="00143482"/>
    <w:rsid w:val="00146EC0"/>
    <w:rsid w:val="001477D6"/>
    <w:rsid w:val="001540EE"/>
    <w:rsid w:val="00154C38"/>
    <w:rsid w:val="00176C60"/>
    <w:rsid w:val="00194260"/>
    <w:rsid w:val="001A435A"/>
    <w:rsid w:val="001B6ADD"/>
    <w:rsid w:val="001C21A5"/>
    <w:rsid w:val="001C5133"/>
    <w:rsid w:val="001C55B1"/>
    <w:rsid w:val="001D0D93"/>
    <w:rsid w:val="001E5065"/>
    <w:rsid w:val="001E7371"/>
    <w:rsid w:val="001F3ECA"/>
    <w:rsid w:val="002006FD"/>
    <w:rsid w:val="0020466A"/>
    <w:rsid w:val="002100F7"/>
    <w:rsid w:val="002201F8"/>
    <w:rsid w:val="00221CC6"/>
    <w:rsid w:val="00226848"/>
    <w:rsid w:val="00226F76"/>
    <w:rsid w:val="00234715"/>
    <w:rsid w:val="00240EC0"/>
    <w:rsid w:val="00241AB2"/>
    <w:rsid w:val="002475D7"/>
    <w:rsid w:val="00247F88"/>
    <w:rsid w:val="0025201B"/>
    <w:rsid w:val="002543C1"/>
    <w:rsid w:val="00280757"/>
    <w:rsid w:val="00283A7F"/>
    <w:rsid w:val="00285537"/>
    <w:rsid w:val="00291294"/>
    <w:rsid w:val="002A47F5"/>
    <w:rsid w:val="002B120E"/>
    <w:rsid w:val="002B797D"/>
    <w:rsid w:val="002D3005"/>
    <w:rsid w:val="002D43F7"/>
    <w:rsid w:val="002E51BA"/>
    <w:rsid w:val="002F6F41"/>
    <w:rsid w:val="0030060A"/>
    <w:rsid w:val="00302623"/>
    <w:rsid w:val="00302883"/>
    <w:rsid w:val="00310ECC"/>
    <w:rsid w:val="00323667"/>
    <w:rsid w:val="00335D68"/>
    <w:rsid w:val="00341340"/>
    <w:rsid w:val="0036068F"/>
    <w:rsid w:val="00364DC5"/>
    <w:rsid w:val="003659D6"/>
    <w:rsid w:val="003670CC"/>
    <w:rsid w:val="00384703"/>
    <w:rsid w:val="0039405D"/>
    <w:rsid w:val="00394E7F"/>
    <w:rsid w:val="00395093"/>
    <w:rsid w:val="003A6647"/>
    <w:rsid w:val="003B4F07"/>
    <w:rsid w:val="003D50BD"/>
    <w:rsid w:val="003E182D"/>
    <w:rsid w:val="003E6865"/>
    <w:rsid w:val="003E798E"/>
    <w:rsid w:val="003F12F2"/>
    <w:rsid w:val="00403344"/>
    <w:rsid w:val="0041484A"/>
    <w:rsid w:val="00415BF4"/>
    <w:rsid w:val="00426128"/>
    <w:rsid w:val="00431868"/>
    <w:rsid w:val="00434677"/>
    <w:rsid w:val="00442BE5"/>
    <w:rsid w:val="0044665C"/>
    <w:rsid w:val="0045392D"/>
    <w:rsid w:val="00461437"/>
    <w:rsid w:val="0046393C"/>
    <w:rsid w:val="00463D91"/>
    <w:rsid w:val="00465813"/>
    <w:rsid w:val="00467EEA"/>
    <w:rsid w:val="00474DA0"/>
    <w:rsid w:val="00480937"/>
    <w:rsid w:val="00497B4B"/>
    <w:rsid w:val="004A152F"/>
    <w:rsid w:val="004B631B"/>
    <w:rsid w:val="004B695B"/>
    <w:rsid w:val="004C4FBB"/>
    <w:rsid w:val="004D5854"/>
    <w:rsid w:val="004E4A05"/>
    <w:rsid w:val="004F6E33"/>
    <w:rsid w:val="004F73C5"/>
    <w:rsid w:val="004F7D77"/>
    <w:rsid w:val="004F7F58"/>
    <w:rsid w:val="00503E2C"/>
    <w:rsid w:val="005044DE"/>
    <w:rsid w:val="0051112F"/>
    <w:rsid w:val="00517B59"/>
    <w:rsid w:val="00524AE3"/>
    <w:rsid w:val="00531AD8"/>
    <w:rsid w:val="00561080"/>
    <w:rsid w:val="00562442"/>
    <w:rsid w:val="00563CB2"/>
    <w:rsid w:val="005717E8"/>
    <w:rsid w:val="005762BA"/>
    <w:rsid w:val="00591338"/>
    <w:rsid w:val="005A2972"/>
    <w:rsid w:val="005A4A80"/>
    <w:rsid w:val="005B1D13"/>
    <w:rsid w:val="005B28CF"/>
    <w:rsid w:val="005B2EFA"/>
    <w:rsid w:val="005C2FE4"/>
    <w:rsid w:val="005C3038"/>
    <w:rsid w:val="005D562F"/>
    <w:rsid w:val="005D5DD0"/>
    <w:rsid w:val="005E6826"/>
    <w:rsid w:val="005F65E7"/>
    <w:rsid w:val="00606806"/>
    <w:rsid w:val="00631176"/>
    <w:rsid w:val="006336E5"/>
    <w:rsid w:val="00640D13"/>
    <w:rsid w:val="00641D87"/>
    <w:rsid w:val="00642F18"/>
    <w:rsid w:val="00645829"/>
    <w:rsid w:val="006466F7"/>
    <w:rsid w:val="00672DA4"/>
    <w:rsid w:val="006761DE"/>
    <w:rsid w:val="00677B81"/>
    <w:rsid w:val="00696594"/>
    <w:rsid w:val="006A0616"/>
    <w:rsid w:val="006A0D60"/>
    <w:rsid w:val="006A7EE9"/>
    <w:rsid w:val="006C3068"/>
    <w:rsid w:val="006C4D4A"/>
    <w:rsid w:val="006D092F"/>
    <w:rsid w:val="006D0EA5"/>
    <w:rsid w:val="006E4B12"/>
    <w:rsid w:val="006F3397"/>
    <w:rsid w:val="006F3E39"/>
    <w:rsid w:val="00701144"/>
    <w:rsid w:val="0070535F"/>
    <w:rsid w:val="007068AC"/>
    <w:rsid w:val="00706A70"/>
    <w:rsid w:val="00710CEE"/>
    <w:rsid w:val="00713905"/>
    <w:rsid w:val="00723DDB"/>
    <w:rsid w:val="00731862"/>
    <w:rsid w:val="00731A80"/>
    <w:rsid w:val="007363C3"/>
    <w:rsid w:val="00743962"/>
    <w:rsid w:val="00747C23"/>
    <w:rsid w:val="00747F47"/>
    <w:rsid w:val="00767B51"/>
    <w:rsid w:val="00770054"/>
    <w:rsid w:val="00784F5B"/>
    <w:rsid w:val="007909C3"/>
    <w:rsid w:val="0079567E"/>
    <w:rsid w:val="007A0BBE"/>
    <w:rsid w:val="007A2650"/>
    <w:rsid w:val="007B1E22"/>
    <w:rsid w:val="007B3B54"/>
    <w:rsid w:val="007B4104"/>
    <w:rsid w:val="007B6C23"/>
    <w:rsid w:val="007C53C9"/>
    <w:rsid w:val="007C6A02"/>
    <w:rsid w:val="007E2140"/>
    <w:rsid w:val="007E4D56"/>
    <w:rsid w:val="007F0478"/>
    <w:rsid w:val="007F551A"/>
    <w:rsid w:val="007F5E26"/>
    <w:rsid w:val="00803095"/>
    <w:rsid w:val="00804019"/>
    <w:rsid w:val="00815BE9"/>
    <w:rsid w:val="00827D3A"/>
    <w:rsid w:val="008462E8"/>
    <w:rsid w:val="008525CD"/>
    <w:rsid w:val="00872B92"/>
    <w:rsid w:val="00873604"/>
    <w:rsid w:val="00874475"/>
    <w:rsid w:val="00877570"/>
    <w:rsid w:val="00884548"/>
    <w:rsid w:val="00896E10"/>
    <w:rsid w:val="008A0CC8"/>
    <w:rsid w:val="008B3435"/>
    <w:rsid w:val="008D263D"/>
    <w:rsid w:val="008D3A45"/>
    <w:rsid w:val="008E266C"/>
    <w:rsid w:val="008E4C7B"/>
    <w:rsid w:val="008E7695"/>
    <w:rsid w:val="008E7F34"/>
    <w:rsid w:val="008F3D29"/>
    <w:rsid w:val="009010C9"/>
    <w:rsid w:val="00916170"/>
    <w:rsid w:val="00917B97"/>
    <w:rsid w:val="009219EE"/>
    <w:rsid w:val="00926F26"/>
    <w:rsid w:val="0093284A"/>
    <w:rsid w:val="00934191"/>
    <w:rsid w:val="00953395"/>
    <w:rsid w:val="009A3B63"/>
    <w:rsid w:val="009B0747"/>
    <w:rsid w:val="009B2072"/>
    <w:rsid w:val="009B4EFD"/>
    <w:rsid w:val="009C204D"/>
    <w:rsid w:val="009D1001"/>
    <w:rsid w:val="009D4A50"/>
    <w:rsid w:val="009E558E"/>
    <w:rsid w:val="009F1525"/>
    <w:rsid w:val="009F19B6"/>
    <w:rsid w:val="009F40D8"/>
    <w:rsid w:val="00A07483"/>
    <w:rsid w:val="00A12A7E"/>
    <w:rsid w:val="00A145D6"/>
    <w:rsid w:val="00A158F1"/>
    <w:rsid w:val="00A15D18"/>
    <w:rsid w:val="00A17705"/>
    <w:rsid w:val="00A22E05"/>
    <w:rsid w:val="00A2507F"/>
    <w:rsid w:val="00A25BF6"/>
    <w:rsid w:val="00A448DC"/>
    <w:rsid w:val="00A561B9"/>
    <w:rsid w:val="00A651AF"/>
    <w:rsid w:val="00A6628D"/>
    <w:rsid w:val="00A72AD7"/>
    <w:rsid w:val="00A74985"/>
    <w:rsid w:val="00A852AE"/>
    <w:rsid w:val="00A8776C"/>
    <w:rsid w:val="00AA434A"/>
    <w:rsid w:val="00AA515B"/>
    <w:rsid w:val="00AA68C0"/>
    <w:rsid w:val="00AA710A"/>
    <w:rsid w:val="00AD30FB"/>
    <w:rsid w:val="00AF0372"/>
    <w:rsid w:val="00B1774B"/>
    <w:rsid w:val="00B22556"/>
    <w:rsid w:val="00B40C30"/>
    <w:rsid w:val="00B56D6D"/>
    <w:rsid w:val="00B65B73"/>
    <w:rsid w:val="00B81C53"/>
    <w:rsid w:val="00B851F7"/>
    <w:rsid w:val="00B872E5"/>
    <w:rsid w:val="00B905B6"/>
    <w:rsid w:val="00B93974"/>
    <w:rsid w:val="00BA5331"/>
    <w:rsid w:val="00BA5CAB"/>
    <w:rsid w:val="00BB13AC"/>
    <w:rsid w:val="00BB2322"/>
    <w:rsid w:val="00BB3D42"/>
    <w:rsid w:val="00BC6747"/>
    <w:rsid w:val="00BD437D"/>
    <w:rsid w:val="00BD4FE0"/>
    <w:rsid w:val="00BD53B1"/>
    <w:rsid w:val="00BE549B"/>
    <w:rsid w:val="00BE646F"/>
    <w:rsid w:val="00BF0237"/>
    <w:rsid w:val="00BF5AF4"/>
    <w:rsid w:val="00C06068"/>
    <w:rsid w:val="00C07ADF"/>
    <w:rsid w:val="00C21325"/>
    <w:rsid w:val="00C23ED8"/>
    <w:rsid w:val="00C27984"/>
    <w:rsid w:val="00C369FB"/>
    <w:rsid w:val="00C40353"/>
    <w:rsid w:val="00C420FB"/>
    <w:rsid w:val="00C42C50"/>
    <w:rsid w:val="00C4397B"/>
    <w:rsid w:val="00C43BF2"/>
    <w:rsid w:val="00C51BF2"/>
    <w:rsid w:val="00C675B3"/>
    <w:rsid w:val="00C93134"/>
    <w:rsid w:val="00C93C21"/>
    <w:rsid w:val="00C94154"/>
    <w:rsid w:val="00C9448D"/>
    <w:rsid w:val="00C94808"/>
    <w:rsid w:val="00C97532"/>
    <w:rsid w:val="00CA1985"/>
    <w:rsid w:val="00CA5BA3"/>
    <w:rsid w:val="00CA5EFA"/>
    <w:rsid w:val="00CB0D4E"/>
    <w:rsid w:val="00CB1EE3"/>
    <w:rsid w:val="00CC2DF4"/>
    <w:rsid w:val="00CD0AFE"/>
    <w:rsid w:val="00CD123C"/>
    <w:rsid w:val="00CD6C7E"/>
    <w:rsid w:val="00CF2C86"/>
    <w:rsid w:val="00D15850"/>
    <w:rsid w:val="00D26917"/>
    <w:rsid w:val="00D269C7"/>
    <w:rsid w:val="00D31B43"/>
    <w:rsid w:val="00D36001"/>
    <w:rsid w:val="00D36C88"/>
    <w:rsid w:val="00D37A5F"/>
    <w:rsid w:val="00D43271"/>
    <w:rsid w:val="00D5276C"/>
    <w:rsid w:val="00D613FF"/>
    <w:rsid w:val="00D653AB"/>
    <w:rsid w:val="00D80FAA"/>
    <w:rsid w:val="00D97D05"/>
    <w:rsid w:val="00DB2A2C"/>
    <w:rsid w:val="00DB3D57"/>
    <w:rsid w:val="00DC5C3C"/>
    <w:rsid w:val="00DE1CF7"/>
    <w:rsid w:val="00DF4780"/>
    <w:rsid w:val="00E348BA"/>
    <w:rsid w:val="00E62C60"/>
    <w:rsid w:val="00E76BAE"/>
    <w:rsid w:val="00E77D25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EE1CBC"/>
    <w:rsid w:val="00EF31A1"/>
    <w:rsid w:val="00F14853"/>
    <w:rsid w:val="00F14E9C"/>
    <w:rsid w:val="00F16CDF"/>
    <w:rsid w:val="00F32BED"/>
    <w:rsid w:val="00F37313"/>
    <w:rsid w:val="00F72AC8"/>
    <w:rsid w:val="00F72FB0"/>
    <w:rsid w:val="00F75E62"/>
    <w:rsid w:val="00FA4301"/>
    <w:rsid w:val="00FC532A"/>
    <w:rsid w:val="00FD1351"/>
    <w:rsid w:val="00FD7F2A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A2BA"/>
  <w15:docId w15:val="{A5F048FB-C960-4196-98C5-1DA8CB68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psmm.pl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kpoplawska@psm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&#322;ka%2008.22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&#322;ka%2008.22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&#322;ka%2008.22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KM'!$A$4:$A$13</c:f>
              <c:strCache>
                <c:ptCount val="10"/>
                <c:pt idx="0">
                  <c:v>Radomiak Radom</c:v>
                </c:pt>
                <c:pt idx="1">
                  <c:v>Lechia Gdańsk</c:v>
                </c:pt>
                <c:pt idx="2">
                  <c:v>Górnik Zabrze</c:v>
                </c:pt>
                <c:pt idx="3">
                  <c:v>Pogoń Szczecin</c:v>
                </c:pt>
                <c:pt idx="4">
                  <c:v>Widzew Łódź</c:v>
                </c:pt>
                <c:pt idx="5">
                  <c:v>Cracovia </c:v>
                </c:pt>
                <c:pt idx="6">
                  <c:v>Raków Częstochowa</c:v>
                </c:pt>
                <c:pt idx="7">
                  <c:v>Śląsk Wrocław</c:v>
                </c:pt>
                <c:pt idx="8">
                  <c:v>Legia Warszawa</c:v>
                </c:pt>
                <c:pt idx="9">
                  <c:v>Lech Poznań</c:v>
                </c:pt>
              </c:strCache>
            </c:strRef>
          </c:cat>
          <c:val>
            <c:numRef>
              <c:f>'Wykresy - KM'!$B$4:$B$13</c:f>
              <c:numCache>
                <c:formatCode>General</c:formatCode>
                <c:ptCount val="10"/>
                <c:pt idx="0">
                  <c:v>1850</c:v>
                </c:pt>
                <c:pt idx="1">
                  <c:v>2030</c:v>
                </c:pt>
                <c:pt idx="2">
                  <c:v>2142</c:v>
                </c:pt>
                <c:pt idx="3">
                  <c:v>2196</c:v>
                </c:pt>
                <c:pt idx="4">
                  <c:v>2314</c:v>
                </c:pt>
                <c:pt idx="5">
                  <c:v>2400</c:v>
                </c:pt>
                <c:pt idx="6">
                  <c:v>2505</c:v>
                </c:pt>
                <c:pt idx="7">
                  <c:v>2538</c:v>
                </c:pt>
                <c:pt idx="8">
                  <c:v>3624</c:v>
                </c:pt>
                <c:pt idx="9">
                  <c:v>4190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296-458C-9B9D-104AA1C39F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800256"/>
        <c:axId val="127693952"/>
      </c:barChart>
      <c:catAx>
        <c:axId val="1268002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27693952"/>
        <c:crosses val="autoZero"/>
        <c:auto val="1"/>
        <c:lblAlgn val="ctr"/>
        <c:lblOffset val="100"/>
        <c:noMultiLvlLbl val="0"/>
      </c:catAx>
      <c:valAx>
        <c:axId val="127693952"/>
        <c:scaling>
          <c:orientation val="minMax"/>
          <c:max val="50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680025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KM'!$A$39:$A$48</c:f>
              <c:strCache>
                <c:ptCount val="10"/>
                <c:pt idx="0">
                  <c:v>Odra Opole</c:v>
                </c:pt>
                <c:pt idx="1">
                  <c:v>Stal Rzeszów</c:v>
                </c:pt>
                <c:pt idx="2">
                  <c:v>Chrobry Głogów</c:v>
                </c:pt>
                <c:pt idx="3">
                  <c:v>Podbeskidzie Bielsko-Biała</c:v>
                </c:pt>
                <c:pt idx="4">
                  <c:v>Bruk-Bet Termalica Nieciecza</c:v>
                </c:pt>
                <c:pt idx="5">
                  <c:v>Arka Gdynia </c:v>
                </c:pt>
                <c:pt idx="6">
                  <c:v>Resovia</c:v>
                </c:pt>
                <c:pt idx="7">
                  <c:v>Górnik Łęczna</c:v>
                </c:pt>
                <c:pt idx="8">
                  <c:v>Ruch Chorzów</c:v>
                </c:pt>
                <c:pt idx="9">
                  <c:v>Wisła Kraków</c:v>
                </c:pt>
              </c:strCache>
            </c:strRef>
          </c:cat>
          <c:val>
            <c:numRef>
              <c:f>'Wykresy - KM'!$B$39:$B$48</c:f>
              <c:numCache>
                <c:formatCode>General</c:formatCode>
                <c:ptCount val="10"/>
                <c:pt idx="0">
                  <c:v>745</c:v>
                </c:pt>
                <c:pt idx="1">
                  <c:v>758</c:v>
                </c:pt>
                <c:pt idx="2">
                  <c:v>774</c:v>
                </c:pt>
                <c:pt idx="3">
                  <c:v>785</c:v>
                </c:pt>
                <c:pt idx="4">
                  <c:v>828</c:v>
                </c:pt>
                <c:pt idx="5">
                  <c:v>857</c:v>
                </c:pt>
                <c:pt idx="6">
                  <c:v>870</c:v>
                </c:pt>
                <c:pt idx="7">
                  <c:v>884</c:v>
                </c:pt>
                <c:pt idx="8">
                  <c:v>1299</c:v>
                </c:pt>
                <c:pt idx="9">
                  <c:v>2437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303-4D72-9001-BDD0F152DF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38260864"/>
        <c:axId val="146983168"/>
      </c:barChart>
      <c:catAx>
        <c:axId val="1382608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46983168"/>
        <c:crosses val="autoZero"/>
        <c:auto val="1"/>
        <c:lblAlgn val="ctr"/>
        <c:lblOffset val="100"/>
        <c:noMultiLvlLbl val="0"/>
      </c:catAx>
      <c:valAx>
        <c:axId val="146983168"/>
        <c:scaling>
          <c:orientation val="minMax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8260864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KM'!$A$23:$A$32</c:f>
              <c:strCache>
                <c:ptCount val="10"/>
                <c:pt idx="0">
                  <c:v>Mateusz Wieteska</c:v>
                </c:pt>
                <c:pt idx="1">
                  <c:v>Łukasz Fabiański </c:v>
                </c:pt>
                <c:pt idx="2">
                  <c:v>Krzysztof Piątek</c:v>
                </c:pt>
                <c:pt idx="3">
                  <c:v>Bartłomiej Drągowski</c:v>
                </c:pt>
                <c:pt idx="4">
                  <c:v>Mateusz Klich</c:v>
                </c:pt>
                <c:pt idx="5">
                  <c:v>Jakub Kamiński</c:v>
                </c:pt>
                <c:pt idx="6">
                  <c:v>Wojciech Szczęsny </c:v>
                </c:pt>
                <c:pt idx="7">
                  <c:v>Piotr Zieliński</c:v>
                </c:pt>
                <c:pt idx="8">
                  <c:v>Arkadiusz Milik</c:v>
                </c:pt>
                <c:pt idx="9">
                  <c:v>Robert Lewandowski</c:v>
                </c:pt>
              </c:strCache>
            </c:strRef>
          </c:cat>
          <c:val>
            <c:numRef>
              <c:f>'Wykresy - KM'!$B$23:$B$32</c:f>
              <c:numCache>
                <c:formatCode>General</c:formatCode>
                <c:ptCount val="10"/>
                <c:pt idx="0">
                  <c:v>266</c:v>
                </c:pt>
                <c:pt idx="1">
                  <c:v>276</c:v>
                </c:pt>
                <c:pt idx="2">
                  <c:v>287</c:v>
                </c:pt>
                <c:pt idx="3">
                  <c:v>297</c:v>
                </c:pt>
                <c:pt idx="4">
                  <c:v>324</c:v>
                </c:pt>
                <c:pt idx="5">
                  <c:v>338</c:v>
                </c:pt>
                <c:pt idx="6">
                  <c:v>468</c:v>
                </c:pt>
                <c:pt idx="7">
                  <c:v>518</c:v>
                </c:pt>
                <c:pt idx="8">
                  <c:v>855</c:v>
                </c:pt>
                <c:pt idx="9">
                  <c:v>5460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A60-4374-AC09-61735BB860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3352832"/>
        <c:axId val="153829760"/>
      </c:barChart>
      <c:catAx>
        <c:axId val="1533528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53829760"/>
        <c:crosses val="autoZero"/>
        <c:auto val="1"/>
        <c:lblAlgn val="ctr"/>
        <c:lblOffset val="100"/>
        <c:noMultiLvlLbl val="0"/>
      </c:catAx>
      <c:valAx>
        <c:axId val="153829760"/>
        <c:scaling>
          <c:orientation val="minMax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3352832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0.68669</cdr:x>
      <cdr:y>0.66016</cdr:y>
    </cdr:from>
    <cdr:to>
      <cdr:x>0.93495</cdr:x>
      <cdr:y>0.82328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826021" y="1942211"/>
          <a:ext cx="1383217" cy="47990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0.64911</cdr:x>
      <cdr:y>0.52074</cdr:y>
    </cdr:from>
    <cdr:to>
      <cdr:x>0.89737</cdr:x>
      <cdr:y>0.68385</cdr:y>
    </cdr:to>
    <cdr:pic>
      <cdr:nvPicPr>
        <cdr:cNvPr id="3" name="Obraz 2">
          <a:extLst xmlns:a="http://schemas.openxmlformats.org/drawingml/2006/main">
            <a:ext uri="{FF2B5EF4-FFF2-40B4-BE49-F238E27FC236}">
              <a16:creationId xmlns:a16="http://schemas.microsoft.com/office/drawing/2014/main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613009" y="1532034"/>
          <a:ext cx="1381832" cy="4798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monika.materkowska7@gmail.com</cp:lastModifiedBy>
  <cp:revision>2</cp:revision>
  <dcterms:created xsi:type="dcterms:W3CDTF">2022-09-09T09:38:00Z</dcterms:created>
  <dcterms:modified xsi:type="dcterms:W3CDTF">2022-09-09T09:38:00Z</dcterms:modified>
</cp:coreProperties>
</file>