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C2" w:rsidRPr="000177C2" w:rsidRDefault="000177C2" w:rsidP="000177C2">
      <w:pPr>
        <w:spacing w:before="240" w:after="0" w:line="276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75513B">
        <w:rPr>
          <w:rFonts w:ascii="Arial" w:eastAsia="Times New Roman" w:hAnsi="Arial" w:cs="Arial"/>
          <w:bCs/>
          <w:color w:val="000000"/>
          <w:lang w:eastAsia="pl-PL"/>
        </w:rPr>
        <w:t>Poznań,</w:t>
      </w:r>
      <w:r w:rsidRPr="000177C2">
        <w:rPr>
          <w:rFonts w:ascii="Arial" w:eastAsia="Times New Roman" w:hAnsi="Arial" w:cs="Arial"/>
          <w:bCs/>
          <w:color w:val="000000"/>
          <w:lang w:eastAsia="pl-PL"/>
        </w:rPr>
        <w:t xml:space="preserve"> 2 listopada 2021 r.</w:t>
      </w:r>
    </w:p>
    <w:p w:rsidR="000177C2" w:rsidRPr="000177C2" w:rsidRDefault="000177C2" w:rsidP="000177C2">
      <w:pPr>
        <w:spacing w:before="240" w:after="0" w:line="276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A73777" w:rsidRPr="0075513B" w:rsidRDefault="000177C2" w:rsidP="0075513B">
      <w:pPr>
        <w:spacing w:before="240"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0177C2">
        <w:rPr>
          <w:rFonts w:ascii="Arial" w:eastAsia="Times New Roman" w:hAnsi="Arial" w:cs="Arial"/>
          <w:bCs/>
          <w:color w:val="000000"/>
          <w:lang w:eastAsia="pl-PL"/>
        </w:rPr>
        <w:t>INFORMACJA PRASOWA</w:t>
      </w:r>
    </w:p>
    <w:p w:rsidR="0075513B" w:rsidRPr="0075513B" w:rsidRDefault="0075513B" w:rsidP="0075513B">
      <w:pPr>
        <w:pStyle w:val="NormalnyWeb"/>
        <w:spacing w:before="240" w:beforeAutospacing="0" w:after="240" w:afterAutospacing="0"/>
        <w:jc w:val="center"/>
        <w:rPr>
          <w:b/>
        </w:rPr>
      </w:pPr>
      <w:r w:rsidRPr="0075513B">
        <w:rPr>
          <w:rFonts w:ascii="Verdana" w:hAnsi="Verdana"/>
          <w:b/>
          <w:color w:val="000000"/>
          <w:sz w:val="22"/>
          <w:szCs w:val="22"/>
        </w:rPr>
        <w:t xml:space="preserve"> Biznes na fali </w:t>
      </w:r>
      <w:proofErr w:type="spellStart"/>
      <w:r w:rsidRPr="0075513B">
        <w:rPr>
          <w:rFonts w:ascii="Verdana" w:hAnsi="Verdana"/>
          <w:b/>
          <w:color w:val="000000"/>
          <w:sz w:val="22"/>
          <w:szCs w:val="22"/>
        </w:rPr>
        <w:t>Covid</w:t>
      </w:r>
      <w:proofErr w:type="spellEnd"/>
      <w:r w:rsidRPr="0075513B">
        <w:rPr>
          <w:rFonts w:ascii="Verdana" w:hAnsi="Verdana"/>
          <w:b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222222"/>
          <w:sz w:val="22"/>
          <w:szCs w:val="22"/>
        </w:rPr>
        <w:t xml:space="preserve">Pandemia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</w:rPr>
        <w:t>koronawirusa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</w:rPr>
        <w:t xml:space="preserve"> zmieniła rzeczywistość w każdym aspekcie funkcjonowania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</w:rPr>
        <w:t>brandów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</w:rPr>
        <w:t xml:space="preserve">, powodując konieczność reorganizacji wielu obszarów. Mimo niesprzyjających okoliczności stała się także impulsem do rozwoju wielu biznesów. </w:t>
      </w:r>
      <w:r>
        <w:rPr>
          <w:rFonts w:ascii="Verdana" w:hAnsi="Verdana"/>
          <w:b/>
          <w:bCs/>
          <w:color w:val="000000"/>
          <w:sz w:val="22"/>
          <w:szCs w:val="22"/>
        </w:rPr>
        <w:t>Jak wynika z raportu Top Marka 2021 - opracowanego przez magazyn „Press” i PRESS-SERVICE Monitoring Mediów – miało to miejsce w dużo spokojniejszej niż rok temu atmosferze.</w:t>
      </w:r>
    </w:p>
    <w:p w:rsidR="0075513B" w:rsidRDefault="0075513B" w:rsidP="0075513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222222"/>
          <w:sz w:val="22"/>
          <w:szCs w:val="22"/>
        </w:rPr>
        <w:t xml:space="preserve">Dezorientacja musiała ustąpić miejsca konieczności zdefiniowania na nowo celów komunikacyjnych, a niepewność, pośpiech i chaos informacyjny, z czasem zastąpił względny spokój. </w:t>
      </w:r>
      <w:r>
        <w:rPr>
          <w:rFonts w:ascii="Verdana" w:hAnsi="Verdana"/>
          <w:color w:val="000000"/>
          <w:sz w:val="22"/>
          <w:szCs w:val="22"/>
        </w:rPr>
        <w:t>Pandemia w znaczący sposób przełożyła się na tegoroczne badanie Top Marka. Przede wszystkim zdecydowała o jeszcze większej liczbie publikacji w porównaniu do ubiegłego roku – o ponad 11 mln.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- Wzrosty te są wynikiem trwającej pandemii COVID-19: w poprzedniej  edycji była to zwiększona aktywność w mediach społecznościowych zatrzymanych w domach Polaków, a teraz liczne materiały redakcyjne dotyczące szczepionek przeciw </w:t>
      </w:r>
      <w:proofErr w:type="spellStart"/>
      <w:r>
        <w:rPr>
          <w:rFonts w:ascii="Verdana" w:hAnsi="Verdana"/>
          <w:color w:val="000000"/>
          <w:sz w:val="22"/>
          <w:szCs w:val="22"/>
        </w:rPr>
        <w:t>koronawirusowi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komentuje Izabela </w:t>
      </w:r>
      <w:proofErr w:type="spellStart"/>
      <w:r>
        <w:rPr>
          <w:rFonts w:ascii="Verdana" w:hAnsi="Verdana"/>
          <w:color w:val="000000"/>
          <w:sz w:val="22"/>
          <w:szCs w:val="22"/>
        </w:rPr>
        <w:t>Grzechnik</w:t>
      </w:r>
      <w:proofErr w:type="spellEnd"/>
      <w:r>
        <w:rPr>
          <w:rFonts w:ascii="Verdana" w:hAnsi="Verdana"/>
          <w:color w:val="000000"/>
          <w:sz w:val="22"/>
          <w:szCs w:val="22"/>
        </w:rPr>
        <w:t>, ekspertka ds. analizy mediów PRESS-SERVICE Monitoring Mediów.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Efekt szczepionki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Medialna dominacja producentów wakcyn to najważniejszy wniosek płynący z tegorocznego badania Top Marka dla branży farmaceutycznej. Najwięcej informacji na temat szczepionek miało charakter produktowy.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- Ogromna większość publikacji to materiały informacyjne o mechanizmie działania szczepionek oraz o praktycznej stronie udziału w programie szczepień, w tym możliwości wyboru konkretnej marki – wyjaśnia Martyna </w:t>
      </w:r>
      <w:proofErr w:type="spellStart"/>
      <w:r>
        <w:rPr>
          <w:rFonts w:ascii="Verdana" w:hAnsi="Verdana"/>
          <w:color w:val="000000"/>
          <w:sz w:val="22"/>
          <w:szCs w:val="22"/>
        </w:rPr>
        <w:t>Martynowicz</w:t>
      </w:r>
      <w:proofErr w:type="spellEnd"/>
      <w:r>
        <w:rPr>
          <w:rFonts w:ascii="Verdana" w:hAnsi="Verdana"/>
          <w:color w:val="000000"/>
          <w:sz w:val="22"/>
          <w:szCs w:val="22"/>
        </w:rPr>
        <w:t>, ekspertka ds. analizy mediów PRESS-SERVICE Monitoring Mediów.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Zwycięzcą w branży farmaceutycznej został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Pfizer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osiągając 6 159 574 pkt. Duży wpływ na ten wynik miał wysoki </w:t>
      </w:r>
      <w:proofErr w:type="spellStart"/>
      <w:r>
        <w:rPr>
          <w:rFonts w:ascii="Verdana" w:hAnsi="Verdana"/>
          <w:color w:val="000000"/>
          <w:sz w:val="22"/>
          <w:szCs w:val="22"/>
        </w:rPr>
        <w:t>impact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3 005 162 949 oraz liczba publikacji – 1 311 066. Na miejscu 2. znalazła się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AstraZeneca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4 908 126 pkt. Trzecią lokatę uzyskała </w:t>
      </w:r>
      <w:r>
        <w:rPr>
          <w:rFonts w:ascii="Verdana" w:hAnsi="Verdana"/>
          <w:b/>
          <w:bCs/>
          <w:color w:val="000000"/>
          <w:sz w:val="22"/>
          <w:szCs w:val="22"/>
        </w:rPr>
        <w:t>Moderna</w:t>
      </w:r>
      <w:r>
        <w:rPr>
          <w:rFonts w:ascii="Verdana" w:hAnsi="Verdana"/>
          <w:color w:val="000000"/>
          <w:sz w:val="22"/>
          <w:szCs w:val="22"/>
        </w:rPr>
        <w:t xml:space="preserve"> z wynikiem 3 209 865 oraz najwyższym poziomem indeksu sentymentu – 2,19. Siłę czwartej marki w sektorze –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Johnson&amp;Johnson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 oszacowano na 3 029 419 pkt. Top 5 zamyka </w:t>
      </w:r>
      <w:r>
        <w:rPr>
          <w:rFonts w:ascii="Verdana" w:hAnsi="Verdana"/>
          <w:b/>
          <w:bCs/>
          <w:color w:val="000000"/>
          <w:sz w:val="22"/>
          <w:szCs w:val="22"/>
        </w:rPr>
        <w:t>Polpharma</w:t>
      </w:r>
      <w:r>
        <w:rPr>
          <w:rFonts w:ascii="Verdana" w:hAnsi="Verdana"/>
          <w:color w:val="000000"/>
          <w:sz w:val="22"/>
          <w:szCs w:val="22"/>
        </w:rPr>
        <w:t xml:space="preserve"> z wynikiem 621 215 pkt.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- Polpharma, piąta w tegorocznym zestawieniu, w poprzednich była liderem. I gdyby nie pandemia, zachowałaby to miejsce (co wykazała dodatkowa analiza), a </w:t>
      </w:r>
      <w:r>
        <w:rPr>
          <w:rFonts w:ascii="Verdana" w:hAnsi="Verdana"/>
          <w:color w:val="000000"/>
          <w:sz w:val="22"/>
          <w:szCs w:val="22"/>
        </w:rPr>
        <w:lastRenderedPageBreak/>
        <w:t xml:space="preserve">za tą marką w rankingu pojawiłyby się kolejno: </w:t>
      </w:r>
      <w:proofErr w:type="spellStart"/>
      <w:r>
        <w:rPr>
          <w:rFonts w:ascii="Verdana" w:hAnsi="Verdana"/>
          <w:color w:val="000000"/>
          <w:sz w:val="22"/>
          <w:szCs w:val="22"/>
        </w:rPr>
        <w:t>Mabion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GlaxoSMithKline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Adamed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Polfa Tarchomin – dodaje Martyna </w:t>
      </w:r>
      <w:proofErr w:type="spellStart"/>
      <w:r>
        <w:rPr>
          <w:rFonts w:ascii="Verdana" w:hAnsi="Verdana"/>
          <w:color w:val="000000"/>
          <w:sz w:val="22"/>
          <w:szCs w:val="22"/>
        </w:rPr>
        <w:t>Martynowicz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Tymczasem do top 10 sektora weszły także brandy: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Mabion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(375 603 pkt.),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GSK </w:t>
      </w:r>
      <w:r>
        <w:rPr>
          <w:rFonts w:ascii="Verdana" w:hAnsi="Verdana"/>
          <w:color w:val="000000"/>
          <w:sz w:val="22"/>
          <w:szCs w:val="22"/>
        </w:rPr>
        <w:t>(264 314 pkt.),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Adamed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(147 818 pkt.), </w:t>
      </w:r>
      <w:r>
        <w:rPr>
          <w:rFonts w:ascii="Verdana" w:hAnsi="Verdana"/>
          <w:b/>
          <w:bCs/>
          <w:color w:val="000000"/>
          <w:sz w:val="22"/>
          <w:szCs w:val="22"/>
        </w:rPr>
        <w:t>Polfa Tarchomin</w:t>
      </w:r>
      <w:r>
        <w:rPr>
          <w:rFonts w:ascii="Verdana" w:hAnsi="Verdana"/>
          <w:color w:val="000000"/>
          <w:sz w:val="22"/>
          <w:szCs w:val="22"/>
        </w:rPr>
        <w:t xml:space="preserve"> (126 392 pkt.) oraz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Celon Pharma </w:t>
      </w:r>
      <w:r>
        <w:rPr>
          <w:rFonts w:ascii="Verdana" w:hAnsi="Verdana"/>
          <w:color w:val="000000"/>
          <w:sz w:val="22"/>
          <w:szCs w:val="22"/>
        </w:rPr>
        <w:t>z siłą marki równą 122 038 pkt.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34050" cy="3305175"/>
            <wp:effectExtent l="0" t="0" r="0" b="9525"/>
            <wp:docPr id="5" name="Obraz 5" descr="https://lh3.googleusercontent.com/cFKeXvG03pBXq5vw0aperjscx0JO-BaGRbvYi8aQYks8Ciu8Sh_z3HpYof7rADULZO_UUl9BCw9vmUcU_h1if8bbaNcbTQFMtccq5o_RfVoVm22MOoWmg8qmoyVFbWn-KQEsP_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FKeXvG03pBXq5vw0aperjscx0JO-BaGRbvYi8aQYks8Ciu8Sh_z3HpYof7rADULZO_UUl9BCw9vmUcU_h1if8bbaNcbTQFMtccq5o_RfVoVm22MOoWmg8qmoyVFbWn-KQEsP_9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16"/>
          <w:szCs w:val="16"/>
        </w:rPr>
        <w:t>Wykres 1. Top 5 marek „Farmacja”, Top Marka 2021</w:t>
      </w:r>
    </w:p>
    <w:p w:rsidR="0075513B" w:rsidRDefault="0075513B" w:rsidP="0075513B"/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Kurs na e-handel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E-commerce zdecydowanie należy do sektorów, którym pandemia bardzo pomogła. Kolejne </w:t>
      </w:r>
      <w:proofErr w:type="spellStart"/>
      <w:r>
        <w:rPr>
          <w:rFonts w:ascii="Verdana" w:hAnsi="Verdana"/>
          <w:color w:val="000000"/>
          <w:sz w:val="22"/>
          <w:szCs w:val="22"/>
        </w:rPr>
        <w:t>lockdowny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obostrzenia napędziły handel elektroniczny. Ci, którzy już wcześniej korzystali z zakupów w sieci, nabywali więcej i sięgali po produkty z nowych obszarów. Pojawiło się także dużo nowych użytkowników online. Wraz z popytem na tego typu usługi wzrosła liczba podmiotów w branży, a także wzmogła się konkurencja, która zaangażowała nawet największych graczy.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Wyższa konkurencja na rynku i rosnąca świadomość coraz bardziej wymagających konsumentów wymuszały na platformach e-commerce poszukiwanie nowych dróg rozwoju i sprzyjały podejmowaniu odważnych decyzji – wyjaśnia Kaja Matuszak, analityczka mediów PRESS-SERVICE Monitoring Mediów.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Podobnie jak w roku ubiegłym, w rankingu serwisów e-commerce liderem badania okazało się </w:t>
      </w:r>
      <w:r>
        <w:rPr>
          <w:rFonts w:ascii="Verdana" w:hAnsi="Verdana"/>
          <w:b/>
          <w:bCs/>
          <w:color w:val="000000"/>
          <w:sz w:val="22"/>
          <w:szCs w:val="22"/>
        </w:rPr>
        <w:t>OLX</w:t>
      </w:r>
      <w:r>
        <w:rPr>
          <w:rFonts w:ascii="Verdana" w:hAnsi="Verdana"/>
          <w:color w:val="000000"/>
          <w:sz w:val="22"/>
          <w:szCs w:val="22"/>
        </w:rPr>
        <w:t xml:space="preserve">. Złożyły się na to zarówno duża liczba publikacji – blisko 3 mln, jak i wysoki indeks sentymentu oszacowany na 3,27. W efekcie siła marki wyniosła 5 415 203 pkt. Drugą lokatę utrzymało </w:t>
      </w:r>
      <w:r>
        <w:rPr>
          <w:rFonts w:ascii="Verdana" w:hAnsi="Verdana"/>
          <w:b/>
          <w:bCs/>
          <w:color w:val="000000"/>
          <w:sz w:val="22"/>
          <w:szCs w:val="22"/>
        </w:rPr>
        <w:t>Allegro</w:t>
      </w:r>
      <w:r>
        <w:rPr>
          <w:rFonts w:ascii="Verdana" w:hAnsi="Verdana"/>
          <w:color w:val="000000"/>
          <w:sz w:val="22"/>
          <w:szCs w:val="22"/>
        </w:rPr>
        <w:t xml:space="preserve">, z wynikiem końcowym 4 723 141 pkt. i dotarciem wyższym od lidera zestawienia – 2 342 509 669. Trzecie miejsce </w:t>
      </w:r>
      <w:r>
        <w:rPr>
          <w:rFonts w:ascii="Verdana" w:hAnsi="Verdana"/>
          <w:color w:val="000000"/>
          <w:sz w:val="22"/>
          <w:szCs w:val="22"/>
        </w:rPr>
        <w:lastRenderedPageBreak/>
        <w:t xml:space="preserve">w branży utrzymał </w:t>
      </w:r>
      <w:r>
        <w:rPr>
          <w:rFonts w:ascii="Verdana" w:hAnsi="Verdana"/>
          <w:b/>
          <w:bCs/>
          <w:color w:val="000000"/>
          <w:sz w:val="22"/>
          <w:szCs w:val="22"/>
        </w:rPr>
        <w:t>Amazon</w:t>
      </w:r>
      <w:r>
        <w:rPr>
          <w:rFonts w:ascii="Verdana" w:hAnsi="Verdana"/>
          <w:color w:val="000000"/>
          <w:sz w:val="22"/>
          <w:szCs w:val="22"/>
        </w:rPr>
        <w:t xml:space="preserve">, który zgromadził 2 249 584 pkt. Z wynikiem 595 102 pkt. na czwarte miejsce awansowało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AliExpress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Top 5 zamknęło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Zalando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z siłą marki na poziomie 541 696 pkt.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 drugiej piątce najsilniejszych marek w tej branży uplasowały się: na miejscu 6.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eObuwie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z wynikiem 386 121 pkt., dalej </w:t>
      </w:r>
      <w:r>
        <w:rPr>
          <w:rFonts w:ascii="Verdana" w:hAnsi="Verdana"/>
          <w:b/>
          <w:bCs/>
          <w:color w:val="000000"/>
          <w:sz w:val="22"/>
          <w:szCs w:val="22"/>
        </w:rPr>
        <w:t>Empik.com</w:t>
      </w:r>
      <w:r>
        <w:rPr>
          <w:rFonts w:ascii="Verdana" w:hAnsi="Verdana"/>
          <w:color w:val="000000"/>
          <w:sz w:val="22"/>
          <w:szCs w:val="22"/>
        </w:rPr>
        <w:t xml:space="preserve">– 243 520 pkt.,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eBay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168 792 pkt., </w:t>
      </w:r>
      <w:r>
        <w:rPr>
          <w:rFonts w:ascii="Verdana" w:hAnsi="Verdana"/>
          <w:b/>
          <w:bCs/>
          <w:color w:val="000000"/>
          <w:sz w:val="22"/>
          <w:szCs w:val="22"/>
        </w:rPr>
        <w:t>Answear.com</w:t>
      </w:r>
      <w:r>
        <w:rPr>
          <w:rFonts w:ascii="Verdana" w:hAnsi="Verdana"/>
          <w:color w:val="000000"/>
          <w:sz w:val="22"/>
          <w:szCs w:val="22"/>
        </w:rPr>
        <w:t xml:space="preserve">– 128 250 pkt. oraz </w:t>
      </w:r>
      <w:r>
        <w:rPr>
          <w:rFonts w:ascii="Verdana" w:hAnsi="Verdana"/>
          <w:b/>
          <w:bCs/>
          <w:color w:val="000000"/>
          <w:sz w:val="22"/>
          <w:szCs w:val="22"/>
        </w:rPr>
        <w:t>Morele.net</w:t>
      </w:r>
      <w:r>
        <w:rPr>
          <w:rFonts w:ascii="Verdana" w:hAnsi="Verdana"/>
          <w:color w:val="000000"/>
          <w:sz w:val="22"/>
          <w:szCs w:val="22"/>
        </w:rPr>
        <w:t>, otrzymując 107 775 pkt.</w:t>
      </w:r>
    </w:p>
    <w:p w:rsidR="0075513B" w:rsidRDefault="0075513B" w:rsidP="0075513B">
      <w:pPr>
        <w:pStyle w:val="NormalnyWeb"/>
        <w:spacing w:before="240" w:beforeAutospacing="0" w:after="24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34050" cy="3248025"/>
            <wp:effectExtent l="0" t="0" r="0" b="9525"/>
            <wp:docPr id="3" name="Obraz 3" descr="https://lh4.googleusercontent.com/_8h6Qxx2uU8jJUTCcNVR43H7NFQdcHOyxX0A9TqledS3qR3h75ol-GCZAjiT2kqTY8f1zl27kZ52QjqPGtt1uAo0YAZZJlNI8ZPtnIapvqgIFqaVGgl3Ja_e4ed7nl7mLWJv_p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_8h6Qxx2uU8jJUTCcNVR43H7NFQdcHOyxX0A9TqledS3qR3h75ol-GCZAjiT2kqTY8f1zl27kZ52QjqPGtt1uAo0YAZZJlNI8ZPtnIapvqgIFqaVGgl3Ja_e4ed7nl7mLWJv_pX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16"/>
          <w:szCs w:val="16"/>
        </w:rPr>
        <w:t>Wykres 2. Top 5 marek „E-commerce”, Top Marka 2021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 Branża w rozkwicie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Boom na rynku e-commerce był jednym z czynników dynamicznego wzrostu w branży kurierskiej, która znalazła się w gronie beneficjentów trudnego czasu pandemii. Covid-19 wymusił na firmach z tego sektora błyskawiczną adaptację do nowej rzeczywistości.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Jak podsumowuje Joanna Skrzypek, analityczka mediów w PRESS-SERVICE Monitoring Mediów, zapotrzebowanie na usługi kurierskie nie słabnie, a rynek KEP w dalszym ciągu dynamicznie się rozwija. Firmy świadczące takie usługi zdobywają nowych klientów, zwiększają przychody, a jednocześnie inwestują w ekologiczne rozwiązania. Nic więc dziwnego, że o markach z tej branży jest w mediach głośno i to w pozytywnym sensie.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Po laur w kategorii „Firmy kurierskie” w rankingu Top Marka 2021, podobnie jak w roku ubiegłym sięgnęła </w:t>
      </w:r>
      <w:r>
        <w:rPr>
          <w:rFonts w:ascii="Verdana" w:hAnsi="Verdana"/>
          <w:b/>
          <w:bCs/>
          <w:color w:val="000000"/>
          <w:sz w:val="22"/>
          <w:szCs w:val="22"/>
        </w:rPr>
        <w:t>Poczta Polska</w:t>
      </w:r>
      <w:r>
        <w:rPr>
          <w:rFonts w:ascii="Verdana" w:hAnsi="Verdana"/>
          <w:color w:val="000000"/>
          <w:sz w:val="22"/>
          <w:szCs w:val="22"/>
        </w:rPr>
        <w:t xml:space="preserve">. Siła tej marki wyniosła – 3 876 718 pkt., co wynikało przede wszystkim z szerokiego dotarcia publikacji (1 278 340 160). Drugie miejsce, kolejny rok z rzędu należało do marki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InPost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która odnotowała dużo wyższy niż rok temu wynik siły marki – aż 3 185 743 pkt. Trzeciej lokaty nie oddało </w:t>
      </w:r>
      <w:r>
        <w:rPr>
          <w:rFonts w:ascii="Verdana" w:hAnsi="Verdana"/>
          <w:b/>
          <w:bCs/>
          <w:color w:val="000000"/>
          <w:sz w:val="22"/>
          <w:szCs w:val="22"/>
        </w:rPr>
        <w:t>DPD</w:t>
      </w:r>
      <w:r>
        <w:rPr>
          <w:rFonts w:ascii="Verdana" w:hAnsi="Verdana"/>
          <w:color w:val="000000"/>
          <w:sz w:val="22"/>
          <w:szCs w:val="22"/>
        </w:rPr>
        <w:t xml:space="preserve">, które osiągnęło 1 953 239 pkt. Na czwarte miejsce w zestawieniu </w:t>
      </w:r>
      <w:r>
        <w:rPr>
          <w:rFonts w:ascii="Verdana" w:hAnsi="Verdana"/>
          <w:color w:val="000000"/>
          <w:sz w:val="22"/>
          <w:szCs w:val="22"/>
        </w:rPr>
        <w:lastRenderedPageBreak/>
        <w:t>marek tej branży awansowało GLS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– </w:t>
      </w:r>
      <w:r>
        <w:rPr>
          <w:rFonts w:ascii="Verdana" w:hAnsi="Verdana"/>
          <w:color w:val="000000"/>
          <w:sz w:val="22"/>
          <w:szCs w:val="22"/>
        </w:rPr>
        <w:t>517 944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pkt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/>
          <w:color w:val="000000"/>
          <w:sz w:val="22"/>
          <w:szCs w:val="22"/>
        </w:rPr>
        <w:t xml:space="preserve">Za nim z 463 028 punktami na koncie uplasowało się </w:t>
      </w:r>
      <w:r>
        <w:rPr>
          <w:rFonts w:ascii="Verdana" w:hAnsi="Verdana"/>
          <w:b/>
          <w:bCs/>
          <w:color w:val="000000"/>
          <w:sz w:val="22"/>
          <w:szCs w:val="22"/>
        </w:rPr>
        <w:t>DHL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Do top 10 firm kurierskich weszły także: </w:t>
      </w:r>
      <w:r>
        <w:rPr>
          <w:rFonts w:ascii="Verdana" w:hAnsi="Verdana"/>
          <w:b/>
          <w:bCs/>
          <w:color w:val="000000"/>
          <w:sz w:val="22"/>
          <w:szCs w:val="22"/>
        </w:rPr>
        <w:t>UPS</w:t>
      </w:r>
      <w:r>
        <w:rPr>
          <w:rFonts w:ascii="Verdana" w:hAnsi="Verdana"/>
          <w:color w:val="000000"/>
          <w:sz w:val="22"/>
          <w:szCs w:val="22"/>
        </w:rPr>
        <w:t xml:space="preserve"> (268 927 pkt.),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Paczka w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RUCHu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(178 467 pkt.),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FedEx </w:t>
      </w:r>
      <w:r>
        <w:rPr>
          <w:rFonts w:ascii="Verdana" w:hAnsi="Verdana"/>
          <w:color w:val="000000"/>
          <w:sz w:val="22"/>
          <w:szCs w:val="22"/>
        </w:rPr>
        <w:t xml:space="preserve">(136 405 pkt.), </w:t>
      </w:r>
      <w:r>
        <w:rPr>
          <w:rFonts w:ascii="Verdana" w:hAnsi="Verdana"/>
          <w:b/>
          <w:bCs/>
          <w:color w:val="000000"/>
          <w:sz w:val="22"/>
          <w:szCs w:val="22"/>
        </w:rPr>
        <w:t>TNT</w:t>
      </w:r>
      <w:r>
        <w:rPr>
          <w:rFonts w:ascii="Verdana" w:hAnsi="Verdana"/>
          <w:color w:val="000000"/>
          <w:sz w:val="22"/>
          <w:szCs w:val="22"/>
        </w:rPr>
        <w:t xml:space="preserve"> (54 237 pkt.) oraz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Geis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(4 893).</w:t>
      </w:r>
    </w:p>
    <w:p w:rsidR="0075513B" w:rsidRDefault="0075513B" w:rsidP="0075513B"/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>
            <wp:extent cx="5734050" cy="3248025"/>
            <wp:effectExtent l="0" t="0" r="0" b="9525"/>
            <wp:docPr id="2" name="Obraz 2" descr="https://lh5.googleusercontent.com/VmdRccJxWJHvUszP0ddfF5NZA_dbQNntY97cEYB5u_vxcTD-qQcNXzs9ifNSM3PR3zr8pdx80h7reg9VOmiPKo6lDXfBlYnb2p7audqEEaOsNnggCXIVGv7M6nsx_w--lPMamV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VmdRccJxWJHvUszP0ddfF5NZA_dbQNntY97cEYB5u_vxcTD-qQcNXzs9ifNSM3PR3zr8pdx80h7reg9VOmiPKo6lDXfBlYnb2p7audqEEaOsNnggCXIVGv7M6nsx_w--lPMamVW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16"/>
          <w:szCs w:val="16"/>
        </w:rPr>
        <w:t>Wykres 3. Top 5 marek „Firmy kurierskie”, Top Marka 2021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 XIV edycji raportu „Top Marka” badaniem objęto materiały z prasy, </w:t>
      </w:r>
      <w:proofErr w:type="spellStart"/>
      <w:r>
        <w:rPr>
          <w:rFonts w:ascii="Verdana" w:hAnsi="Verdana"/>
          <w:color w:val="000000"/>
          <w:sz w:val="22"/>
          <w:szCs w:val="22"/>
        </w:rPr>
        <w:t>internetu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000000"/>
          <w:sz w:val="22"/>
          <w:szCs w:val="22"/>
        </w:rPr>
        <w:t>social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media opublikowane w okresie od 1 lipca 2020 roku do 30 czerwca 2021 roku – łącznie ponad 108 mln informacji: 2 mln tekstów prasowych, 16 mln internetowych i 90 mln postów w mediach społecznościowych. Materiały poddane analizie dotyczyły 10 najsilniejszych marek z 50 najmocniejszych medialnie branż. Łącznie w raporcie opisano 500 </w:t>
      </w:r>
      <w:proofErr w:type="spellStart"/>
      <w:r>
        <w:rPr>
          <w:rFonts w:ascii="Verdana" w:hAnsi="Verdana"/>
          <w:color w:val="000000"/>
          <w:sz w:val="22"/>
          <w:szCs w:val="22"/>
        </w:rPr>
        <w:t>brandów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W badaniu zastosowano jednakowe wskaźniki dla wszystkich rodzajów wzmianek, uwzględniając specyfikę prasy, portali internetowych i </w:t>
      </w:r>
      <w:proofErr w:type="spellStart"/>
      <w:r>
        <w:rPr>
          <w:rFonts w:ascii="Verdana" w:hAnsi="Verdana"/>
          <w:color w:val="000000"/>
          <w:sz w:val="22"/>
          <w:szCs w:val="22"/>
        </w:rPr>
        <w:t>social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media: </w:t>
      </w:r>
      <w:proofErr w:type="spellStart"/>
      <w:r>
        <w:rPr>
          <w:rFonts w:ascii="Verdana" w:hAnsi="Verdana"/>
          <w:color w:val="000000"/>
          <w:sz w:val="22"/>
          <w:szCs w:val="22"/>
        </w:rPr>
        <w:t>impact</w:t>
      </w:r>
      <w:proofErr w:type="spellEnd"/>
      <w:r>
        <w:rPr>
          <w:rFonts w:ascii="Verdana" w:hAnsi="Verdana"/>
          <w:color w:val="000000"/>
          <w:sz w:val="22"/>
          <w:szCs w:val="22"/>
        </w:rPr>
        <w:t>, indeks sentymentu i siłę marki.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hyperlink r:id="rId7" w:history="1">
        <w:r w:rsidRPr="0075513B">
          <w:rPr>
            <w:rStyle w:val="Hipercze"/>
            <w:rFonts w:ascii="Verdana" w:hAnsi="Verdana"/>
            <w:sz w:val="22"/>
            <w:szCs w:val="22"/>
            <w:shd w:val="clear" w:color="auto" w:fill="FFFFFF"/>
          </w:rPr>
          <w:t>Infografika „Farmacja” – ranking marek 2021</w:t>
        </w:r>
      </w:hyperlink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hyperlink r:id="rId8" w:history="1">
        <w:r w:rsidRPr="0075513B">
          <w:rPr>
            <w:rStyle w:val="Hipercze"/>
            <w:rFonts w:ascii="Verdana" w:hAnsi="Verdana"/>
            <w:sz w:val="22"/>
            <w:szCs w:val="22"/>
            <w:shd w:val="clear" w:color="auto" w:fill="FFFFFF"/>
          </w:rPr>
          <w:t>Infografika „E-commerce” – ranking marek 2021</w:t>
        </w:r>
      </w:hyperlink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hyperlink r:id="rId9" w:history="1">
        <w:r w:rsidRPr="0075513B">
          <w:rPr>
            <w:rStyle w:val="Hipercze"/>
            <w:rFonts w:ascii="Verdana" w:hAnsi="Verdana"/>
            <w:sz w:val="22"/>
            <w:szCs w:val="22"/>
            <w:shd w:val="clear" w:color="auto" w:fill="FFFFFF"/>
          </w:rPr>
          <w:t>Infografika „Firmy kurierskie” – ranking marek 2021</w:t>
        </w:r>
      </w:hyperlink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hyperlink r:id="rId10" w:history="1">
        <w:r w:rsidRPr="0075513B">
          <w:rPr>
            <w:rStyle w:val="Hipercze"/>
            <w:rFonts w:ascii="Verdana" w:hAnsi="Verdana"/>
            <w:sz w:val="22"/>
            <w:szCs w:val="22"/>
            <w:shd w:val="clear" w:color="auto" w:fill="FFFFFF"/>
          </w:rPr>
          <w:t>Więcej na temat wyników badania Top Marka 2021</w:t>
        </w:r>
      </w:hyperlink>
    </w:p>
    <w:p w:rsidR="0075513B" w:rsidRDefault="00D054C7" w:rsidP="0075513B">
      <w:pPr>
        <w:pStyle w:val="NormalnyWeb"/>
        <w:spacing w:before="240" w:beforeAutospacing="0" w:after="240" w:afterAutospacing="0"/>
        <w:jc w:val="both"/>
      </w:pPr>
      <w:hyperlink r:id="rId11" w:history="1">
        <w:r w:rsidR="0075513B" w:rsidRPr="00D054C7">
          <w:rPr>
            <w:rStyle w:val="Hipercze"/>
            <w:rFonts w:ascii="Verdana" w:hAnsi="Verdana"/>
            <w:sz w:val="22"/>
            <w:szCs w:val="22"/>
            <w:shd w:val="clear" w:color="auto" w:fill="FFFFFF"/>
          </w:rPr>
          <w:t>Metodologia rankingu Top Marka 2021</w:t>
        </w:r>
      </w:hyperlink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1155CC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  <w:u w:val="single"/>
        </w:rPr>
        <w:t>Wskaźniki zastosowane w badaniu „Top Marka 2021”</w:t>
      </w:r>
    </w:p>
    <w:p w:rsidR="0075513B" w:rsidRDefault="0075513B" w:rsidP="0075513B">
      <w:pPr>
        <w:pStyle w:val="NormalnyWeb"/>
        <w:spacing w:before="240" w:beforeAutospacing="0" w:after="240" w:afterAutospacing="0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Impact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– dotarcie wzmianki o marce w oparciu o dane o konsumpcji medium.</w:t>
      </w:r>
    </w:p>
    <w:p w:rsidR="0075513B" w:rsidRDefault="0075513B" w:rsidP="0075513B">
      <w:pPr>
        <w:pStyle w:val="NormalnyWeb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Indeks sentymentu</w:t>
      </w:r>
      <w:r>
        <w:rPr>
          <w:rFonts w:ascii="Verdana" w:hAnsi="Verdana"/>
          <w:color w:val="000000"/>
          <w:sz w:val="22"/>
          <w:szCs w:val="22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75513B" w:rsidRDefault="0075513B" w:rsidP="0075513B">
      <w:pPr>
        <w:pStyle w:val="NormalnyWeb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Siła marki</w:t>
      </w:r>
      <w:r>
        <w:rPr>
          <w:rFonts w:ascii="Verdana" w:hAnsi="Verdana"/>
          <w:color w:val="000000"/>
          <w:sz w:val="22"/>
          <w:szCs w:val="22"/>
        </w:rPr>
        <w:t xml:space="preserve"> – ostateczna wartość decydująca o miejscu w rankingu; jest indeksem kilku zmiennych świadczących zarówno o liczbie kontaktów odbiorców z marką, jak i jakościowej ocenie komunikatu. </w:t>
      </w:r>
    </w:p>
    <w:p w:rsidR="0075513B" w:rsidRDefault="0075513B" w:rsidP="0075513B">
      <w:pPr>
        <w:pStyle w:val="NormalnyWeb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media oznaczenie @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PSMMonitoring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(FB i TT) oraz @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MagazynPress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(FB) i @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RedakcjaPress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(TT)).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5513B" w:rsidRDefault="0075513B" w:rsidP="0075513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Osoba do kontaktu:</w:t>
      </w:r>
    </w:p>
    <w:p w:rsidR="00A73777" w:rsidRPr="000177C2" w:rsidRDefault="00A73777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t>Marlena Sosnowska</w:t>
      </w:r>
      <w:r w:rsidRPr="000177C2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32349A">
        <w:rPr>
          <w:rFonts w:ascii="Arial" w:eastAsia="Times New Roman" w:hAnsi="Arial" w:cs="Arial"/>
          <w:color w:val="000000"/>
          <w:lang w:eastAsia="pl-PL"/>
        </w:rPr>
        <w:t>Rzecznik Prasowy</w:t>
      </w:r>
      <w:r w:rsidR="0032349A">
        <w:rPr>
          <w:rFonts w:ascii="Arial" w:eastAsia="Times New Roman" w:hAnsi="Arial" w:cs="Arial"/>
          <w:color w:val="000000"/>
          <w:lang w:eastAsia="pl-PL"/>
        </w:rPr>
        <w:br/>
      </w:r>
      <w:r w:rsidRPr="000177C2">
        <w:rPr>
          <w:rFonts w:ascii="Arial" w:eastAsia="Times New Roman" w:hAnsi="Arial" w:cs="Arial"/>
          <w:color w:val="000000"/>
          <w:lang w:eastAsia="pl-PL"/>
        </w:rPr>
        <w:t>+48 697 410 980</w:t>
      </w:r>
      <w:r w:rsidRPr="000177C2">
        <w:rPr>
          <w:rFonts w:ascii="Arial" w:eastAsia="Times New Roman" w:hAnsi="Arial" w:cs="Arial"/>
          <w:color w:val="000000"/>
          <w:lang w:eastAsia="pl-PL"/>
        </w:rPr>
        <w:br/>
      </w:r>
      <w:hyperlink r:id="rId12" w:history="1">
        <w:r w:rsidRPr="000177C2">
          <w:rPr>
            <w:rFonts w:ascii="Arial" w:eastAsia="Times New Roman" w:hAnsi="Arial" w:cs="Arial"/>
            <w:color w:val="1155CC"/>
            <w:u w:val="single"/>
            <w:lang w:eastAsia="pl-PL"/>
          </w:rPr>
          <w:t>msosnowska@psmm.pl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PRESS-SERVICE Monitoring Mediów</w:t>
      </w:r>
      <w:r w:rsidRPr="000177C2">
        <w:rPr>
          <w:rFonts w:ascii="Arial" w:eastAsia="Times New Roman" w:hAnsi="Arial" w:cs="Arial"/>
          <w:color w:val="000000"/>
          <w:lang w:eastAsia="pl-PL"/>
        </w:rPr>
        <w:br/>
        <w:t>60-801 Poznań, ul. Marcelińska 14</w:t>
      </w:r>
      <w:r w:rsidRPr="000177C2">
        <w:rPr>
          <w:rFonts w:ascii="Arial" w:eastAsia="Times New Roman" w:hAnsi="Arial" w:cs="Arial"/>
          <w:color w:val="000000"/>
          <w:lang w:eastAsia="pl-PL"/>
        </w:rPr>
        <w:br/>
      </w:r>
      <w:hyperlink r:id="rId13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www.psmm.pl</w:t>
        </w:r>
        <w:r w:rsidRPr="000177C2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hyperlink r:id="rId14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www.twitter.com/PSMMonitoring</w:t>
        </w:r>
        <w:r w:rsidRPr="000177C2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hyperlink r:id="rId15" w:history="1">
        <w:r w:rsidRPr="000177C2">
          <w:rPr>
            <w:rFonts w:ascii="Arial" w:eastAsia="Times New Roman" w:hAnsi="Arial" w:cs="Arial"/>
            <w:color w:val="000000"/>
            <w:u w:val="single"/>
            <w:lang w:eastAsia="pl-PL"/>
          </w:rPr>
          <w:t>www.facebook.com/PSMMonitoring</w:t>
        </w:r>
      </w:hyperlink>
    </w:p>
    <w:p w:rsidR="000177C2" w:rsidRPr="000177C2" w:rsidRDefault="000177C2" w:rsidP="000177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</w:p>
    <w:p w:rsidR="000177C2" w:rsidRPr="000177C2" w:rsidRDefault="000177C2" w:rsidP="000177C2">
      <w:pPr>
        <w:spacing w:before="240"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0177C2">
        <w:rPr>
          <w:rFonts w:ascii="Arial" w:eastAsia="Times New Roman" w:hAnsi="Arial" w:cs="Arial"/>
          <w:color w:val="000000"/>
          <w:lang w:eastAsia="pl-PL"/>
        </w:rPr>
        <w:t> </w:t>
      </w:r>
      <w:bookmarkStart w:id="0" w:name="_GoBack"/>
      <w:bookmarkEnd w:id="0"/>
    </w:p>
    <w:p w:rsidR="00643D12" w:rsidRPr="000177C2" w:rsidRDefault="00D054C7" w:rsidP="000177C2">
      <w:pPr>
        <w:spacing w:line="276" w:lineRule="auto"/>
      </w:pPr>
    </w:p>
    <w:sectPr w:rsidR="00643D12" w:rsidRPr="000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3"/>
    <w:rsid w:val="000177C2"/>
    <w:rsid w:val="001303B3"/>
    <w:rsid w:val="0032349A"/>
    <w:rsid w:val="004C06D9"/>
    <w:rsid w:val="0075513B"/>
    <w:rsid w:val="00845EE1"/>
    <w:rsid w:val="009D641B"/>
    <w:rsid w:val="00A73777"/>
    <w:rsid w:val="00AE3090"/>
    <w:rsid w:val="00D054C7"/>
    <w:rsid w:val="00E453E5"/>
    <w:rsid w:val="00E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3D8F-9FBD-49F4-B0E7-8FC16C2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7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wp-content/uploads/2021/11/top-marka-e-commerce-2021.png" TargetMode="External"/><Relationship Id="rId13" Type="http://schemas.openxmlformats.org/officeDocument/2006/relationships/hyperlink" Target="http://www.psm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mm.pl/wp-content/uploads/2021/11/top-marka-farmacja-2021.png" TargetMode="External"/><Relationship Id="rId12" Type="http://schemas.openxmlformats.org/officeDocument/2006/relationships/hyperlink" Target="mailto:msosnowska@psmm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BARtmJ-FxH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hyperlink" Target="https://topmarka.e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smm.pl/wp-content/uploads/2021/11/top-marka-firmy-kurierskie-2021.png" TargetMode="External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Sosnowska</dc:creator>
  <cp:keywords/>
  <dc:description/>
  <cp:lastModifiedBy>Marlena Sosnowska</cp:lastModifiedBy>
  <cp:revision>4</cp:revision>
  <dcterms:created xsi:type="dcterms:W3CDTF">2021-11-02T08:09:00Z</dcterms:created>
  <dcterms:modified xsi:type="dcterms:W3CDTF">2021-11-02T08:25:00Z</dcterms:modified>
</cp:coreProperties>
</file>