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006F0E">
        <w:rPr>
          <w:rFonts w:ascii="Verdana" w:hAnsi="Verdana"/>
          <w:sz w:val="20"/>
          <w:szCs w:val="20"/>
        </w:rPr>
        <w:t>13</w:t>
      </w:r>
      <w:r w:rsidR="006F351D">
        <w:rPr>
          <w:rFonts w:ascii="Verdana" w:hAnsi="Verdana"/>
          <w:sz w:val="20"/>
          <w:szCs w:val="20"/>
        </w:rPr>
        <w:t xml:space="preserve"> lutego</w:t>
      </w:r>
      <w:r w:rsidR="007F1830">
        <w:rPr>
          <w:rFonts w:ascii="Verdana" w:hAnsi="Verdana"/>
          <w:sz w:val="20"/>
          <w:szCs w:val="20"/>
        </w:rPr>
        <w:t xml:space="preserve"> 2020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6F351D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Styczeń dla Legii, Piątek zdetronizował Lewandowskiego</w:t>
      </w:r>
    </w:p>
    <w:p w:rsidR="00007032" w:rsidRDefault="007F1830" w:rsidP="005F59F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Tak jak w poprzednich miesiącach, Legia Warszawa zwyciężyła w rankingu medialności klubów PKO BP Ekstraklasy</w:t>
      </w:r>
      <w:r w:rsidR="00006F0E">
        <w:rPr>
          <w:rFonts w:ascii="Verdana" w:hAnsi="Verdana"/>
          <w:b/>
          <w:sz w:val="20"/>
          <w:szCs w:val="20"/>
        </w:rPr>
        <w:t>. Zmiana nastąpiła</w:t>
      </w:r>
      <w:r w:rsidR="00A147C4">
        <w:rPr>
          <w:rFonts w:ascii="Verdana" w:hAnsi="Verdana"/>
          <w:b/>
          <w:sz w:val="20"/>
          <w:szCs w:val="20"/>
        </w:rPr>
        <w:t xml:space="preserve"> wśród </w:t>
      </w:r>
      <w:r>
        <w:rPr>
          <w:rFonts w:ascii="Verdana" w:hAnsi="Verdana"/>
          <w:b/>
          <w:sz w:val="20"/>
          <w:szCs w:val="20"/>
        </w:rPr>
        <w:t>polskich piłkarzy będących zawodnikami klubów z TOP5 europejskich lig</w:t>
      </w:r>
      <w:r w:rsidR="00A147C4">
        <w:rPr>
          <w:rFonts w:ascii="Verdana" w:hAnsi="Verdana"/>
          <w:b/>
          <w:sz w:val="20"/>
          <w:szCs w:val="20"/>
        </w:rPr>
        <w:t>, gdzie Krzysztof Piątek zdetronizował Roberta Lewandowskiego</w:t>
      </w:r>
      <w:r>
        <w:rPr>
          <w:rFonts w:ascii="Verdana" w:hAnsi="Verdana"/>
          <w:b/>
          <w:sz w:val="20"/>
          <w:szCs w:val="20"/>
        </w:rPr>
        <w:t xml:space="preserve"> </w:t>
      </w:r>
      <w:r w:rsidR="00007032">
        <w:rPr>
          <w:rFonts w:ascii="Verdana" w:hAnsi="Verdana"/>
          <w:b/>
          <w:sz w:val="20"/>
          <w:szCs w:val="20"/>
        </w:rPr>
        <w:t>- wynika z raportu</w:t>
      </w:r>
      <w:r w:rsidR="00007032" w:rsidRPr="00302623">
        <w:rPr>
          <w:rFonts w:ascii="Verdana" w:hAnsi="Verdana"/>
          <w:b/>
          <w:sz w:val="20"/>
          <w:szCs w:val="20"/>
        </w:rPr>
        <w:t xml:space="preserve"> </w:t>
      </w:r>
      <w:r w:rsidR="00007032">
        <w:rPr>
          <w:rFonts w:ascii="Verdana" w:hAnsi="Verdana"/>
          <w:b/>
          <w:sz w:val="20"/>
          <w:szCs w:val="20"/>
        </w:rPr>
        <w:t>PRESS-SERVICE Monitoring Mediów</w:t>
      </w:r>
      <w:r w:rsidR="00007032" w:rsidRPr="0030262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A147C4" w:rsidRDefault="007F1830" w:rsidP="007F18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Czołówka zestawienia klubów PKO BP Ekstraklasy w </w:t>
      </w:r>
      <w:r w:rsidR="00A147C4">
        <w:rPr>
          <w:rFonts w:ascii="Verdana" w:hAnsi="Verdana"/>
          <w:sz w:val="20"/>
          <w:szCs w:val="20"/>
        </w:rPr>
        <w:t>styczniu</w:t>
      </w:r>
      <w:r>
        <w:rPr>
          <w:rFonts w:ascii="Verdana" w:hAnsi="Verdana"/>
          <w:sz w:val="20"/>
          <w:szCs w:val="20"/>
        </w:rPr>
        <w:t xml:space="preserve"> nie różni si</w:t>
      </w:r>
      <w:r w:rsidR="00A147C4">
        <w:rPr>
          <w:rFonts w:ascii="Verdana" w:hAnsi="Verdana"/>
          <w:sz w:val="20"/>
          <w:szCs w:val="20"/>
        </w:rPr>
        <w:t xml:space="preserve">ę wiele od poprzednich miesięcy. Dość powiedzieć, że pierwszych pięć klubów nie zmieniło swojej pozycji. </w:t>
      </w:r>
    </w:p>
    <w:p w:rsidR="007F1830" w:rsidRDefault="00A147C4" w:rsidP="007F18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Wszystko za sprawą dość spokojnego okresu bez ligowych meczów. Kluby rozgrywały spotkania kontrolne, a jedyną atrakcją dla kibiców były informacje transferowe. Na tych drugich skorzystał m.in. Górnik Zabrze, o którym po raz kolejny było głośno w związku z ew. transferem Lukasa Podolskiego. Były reprezentant Niemiec wielokrotnie zapowiadał, że na koniec kariery zagra w polskim klubie. </w:t>
      </w:r>
      <w:r w:rsidR="00C44E1E">
        <w:rPr>
          <w:rFonts w:ascii="Verdana" w:hAnsi="Verdana"/>
          <w:sz w:val="20"/>
          <w:szCs w:val="20"/>
        </w:rPr>
        <w:t xml:space="preserve">Tym razem jednak do tego nie doszło, bowiem Podolski wybrał turecki </w:t>
      </w:r>
      <w:proofErr w:type="spellStart"/>
      <w:r w:rsidR="00C44E1E">
        <w:rPr>
          <w:rFonts w:ascii="Verdana" w:hAnsi="Verdana"/>
          <w:sz w:val="20"/>
          <w:szCs w:val="20"/>
        </w:rPr>
        <w:t>Antalyaspor</w:t>
      </w:r>
      <w:proofErr w:type="spellEnd"/>
      <w:r w:rsidR="007F1830">
        <w:rPr>
          <w:rFonts w:ascii="Verdana" w:hAnsi="Verdana"/>
          <w:sz w:val="20"/>
          <w:szCs w:val="20"/>
        </w:rPr>
        <w:t xml:space="preserve">. </w:t>
      </w:r>
    </w:p>
    <w:p w:rsidR="007F1830" w:rsidRDefault="00C44E1E" w:rsidP="002B4E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Drugim klubem, który w styczniu poprawił swoją pozycję w rankingu</w:t>
      </w:r>
      <w:r w:rsidR="00006F0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jest Jagiellonia Białystok. „Duma Podlasia” awansowała na 6. miejsce głównie dzięki rozpoczętym obchodom 100-lecia klubu. W ich ramach pozwolono kibicom na zmianę klubowego herbu za pomocą internetowej ankiety.</w:t>
      </w:r>
    </w:p>
    <w:p w:rsidR="007F1830" w:rsidRDefault="00C44E1E" w:rsidP="007F1830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70E6FB0" wp14:editId="0CE96E53">
            <wp:extent cx="5486400" cy="2887756"/>
            <wp:effectExtent l="0" t="0" r="0" b="8255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1830" w:rsidRDefault="007F1830" w:rsidP="007F1830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Wykres 1</w:t>
      </w:r>
      <w:r w:rsidRPr="002100F7">
        <w:rPr>
          <w:rFonts w:ascii="Verdana" w:hAnsi="Verdana" w:cs="Tahoma"/>
          <w:b/>
          <w:sz w:val="20"/>
          <w:szCs w:val="20"/>
        </w:rPr>
        <w:t>. TOP 10 najbardziej medial</w:t>
      </w:r>
      <w:r>
        <w:rPr>
          <w:rFonts w:ascii="Verdana" w:hAnsi="Verdana" w:cs="Tahoma"/>
          <w:b/>
          <w:sz w:val="20"/>
          <w:szCs w:val="20"/>
        </w:rPr>
        <w:t xml:space="preserve">nych drużyn PKO BP Ekstraklasy w </w:t>
      </w:r>
      <w:r w:rsidR="00C44E1E">
        <w:rPr>
          <w:rFonts w:ascii="Verdana" w:hAnsi="Verdana" w:cs="Tahoma"/>
          <w:b/>
          <w:sz w:val="20"/>
          <w:szCs w:val="20"/>
        </w:rPr>
        <w:t>styczniu 2020</w:t>
      </w:r>
      <w:r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ED1CCB" w:rsidRDefault="002B4E57" w:rsidP="002B4E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rankingu medialności Fortuna 1. Ligi kolejny miesiąc z rzędu należał do Stali Mielec. </w:t>
      </w:r>
      <w:r w:rsidR="00ED1CCB">
        <w:rPr>
          <w:rFonts w:ascii="Verdana" w:hAnsi="Verdana"/>
          <w:sz w:val="20"/>
          <w:szCs w:val="20"/>
        </w:rPr>
        <w:t xml:space="preserve">Liczbę publikacji o klubach zaplecza PKO BP Ekstraklasy wyznaczały w styczniu sparingi z bardziej medialnymi rywalami i transfery. Na drugim miejscu niespodziewanie znalazł się </w:t>
      </w:r>
      <w:r w:rsidR="00ED1CCB">
        <w:rPr>
          <w:rFonts w:ascii="Verdana" w:hAnsi="Verdana"/>
          <w:sz w:val="20"/>
          <w:szCs w:val="20"/>
        </w:rPr>
        <w:lastRenderedPageBreak/>
        <w:t>GKS 1962 Jastrzębie ex aequo z Radomiakiem Radom. Na kolejnych miejscach obyło się już bez niespodzianek.</w:t>
      </w:r>
    </w:p>
    <w:p w:rsidR="002B4E57" w:rsidRPr="002100F7" w:rsidRDefault="00ED1CCB" w:rsidP="002B4E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C44E1E">
        <w:rPr>
          <w:noProof/>
          <w:lang w:eastAsia="pl-PL"/>
        </w:rPr>
        <w:drawing>
          <wp:inline distT="0" distB="0" distL="0" distR="0" wp14:anchorId="0CA14A7F" wp14:editId="5DB87878">
            <wp:extent cx="5486400" cy="2887906"/>
            <wp:effectExtent l="0" t="0" r="0" b="8255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4E57" w:rsidRPr="00247F88" w:rsidRDefault="002B4E57" w:rsidP="002B4E5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>
        <w:rPr>
          <w:rFonts w:ascii="Verdana" w:hAnsi="Verdana" w:cs="Tahoma"/>
          <w:b/>
          <w:sz w:val="20"/>
          <w:szCs w:val="20"/>
        </w:rPr>
        <w:t xml:space="preserve"> </w:t>
      </w:r>
      <w:r w:rsidR="00ED1CCB">
        <w:rPr>
          <w:rFonts w:ascii="Verdana" w:hAnsi="Verdana" w:cs="Tahoma"/>
          <w:b/>
          <w:sz w:val="20"/>
          <w:szCs w:val="20"/>
        </w:rPr>
        <w:t>styczniu 2020</w:t>
      </w:r>
      <w:r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D75965" w:rsidRDefault="00D75965" w:rsidP="000070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Najciekawsze zmiany miały miejsce w zestawieniu </w:t>
      </w:r>
      <w:r w:rsidRPr="00D653AB">
        <w:rPr>
          <w:rFonts w:ascii="Verdana" w:hAnsi="Verdana"/>
          <w:sz w:val="20"/>
          <w:szCs w:val="20"/>
        </w:rPr>
        <w:t xml:space="preserve">polskich piłkarzy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europejskich lig. Po sześciu miesiącach dominacji Roberta Lewandowskiego, na pierwsze miejsce ponownie wskoczył Krzysztof Piątek. Pierwszą pozycję „</w:t>
      </w:r>
      <w:proofErr w:type="spellStart"/>
      <w:r>
        <w:rPr>
          <w:rFonts w:ascii="Verdana" w:hAnsi="Verdana"/>
          <w:sz w:val="20"/>
          <w:szCs w:val="20"/>
        </w:rPr>
        <w:t>Pjonie</w:t>
      </w:r>
      <w:proofErr w:type="spellEnd"/>
      <w:r>
        <w:rPr>
          <w:rFonts w:ascii="Verdana" w:hAnsi="Verdana"/>
          <w:sz w:val="20"/>
          <w:szCs w:val="20"/>
        </w:rPr>
        <w:t xml:space="preserve">” zapewniły pogłoski transferowe oraz ostatecznie przejście do </w:t>
      </w:r>
      <w:proofErr w:type="spellStart"/>
      <w:r>
        <w:rPr>
          <w:rFonts w:ascii="Verdana" w:hAnsi="Verdana"/>
          <w:sz w:val="20"/>
          <w:szCs w:val="20"/>
        </w:rPr>
        <w:t>Herthy</w:t>
      </w:r>
      <w:proofErr w:type="spellEnd"/>
      <w:r>
        <w:rPr>
          <w:rFonts w:ascii="Verdana" w:hAnsi="Verdana"/>
          <w:sz w:val="20"/>
          <w:szCs w:val="20"/>
        </w:rPr>
        <w:t xml:space="preserve"> Berlin. Wcześniej była jednak mowa także o przenosinach do Tottenhamu Hotspur. Kolejni piłkarze w zestawieniu po raz kolejny znaleźli się daleko za wspomnianą dwójką. </w:t>
      </w:r>
      <w:r w:rsidR="00DB4701">
        <w:rPr>
          <w:rFonts w:ascii="Verdana" w:hAnsi="Verdana"/>
          <w:sz w:val="20"/>
          <w:szCs w:val="20"/>
        </w:rPr>
        <w:t xml:space="preserve">Uwagę zwraca wysoka pozycja Bartłomieja Drągowskiego, który w analizowanym okresie zagrał cztery mecze w barwach </w:t>
      </w:r>
      <w:proofErr w:type="spellStart"/>
      <w:r w:rsidR="00DB4701">
        <w:rPr>
          <w:rFonts w:ascii="Verdana" w:hAnsi="Verdana"/>
          <w:sz w:val="20"/>
          <w:szCs w:val="20"/>
        </w:rPr>
        <w:t>Fiorentiny</w:t>
      </w:r>
      <w:proofErr w:type="spellEnd"/>
      <w:r w:rsidR="00DB4701">
        <w:rPr>
          <w:rFonts w:ascii="Verdana" w:hAnsi="Verdana"/>
          <w:sz w:val="20"/>
          <w:szCs w:val="20"/>
        </w:rPr>
        <w:t>, a w związku z regularnymi występami od początku sezonu i rosnącą wartością piłkarza wzrosło także zainteresowanie mediów.</w:t>
      </w:r>
    </w:p>
    <w:p w:rsidR="00007032" w:rsidRDefault="00D75965" w:rsidP="00007032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BF30561" wp14:editId="050AC774">
            <wp:extent cx="5486400" cy="2887906"/>
            <wp:effectExtent l="0" t="0" r="0" b="8255"/>
            <wp:docPr id="5" name="Wykres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032" w:rsidRPr="00007032" w:rsidRDefault="00007032" w:rsidP="00080EF2">
      <w:pPr>
        <w:jc w:val="both"/>
        <w:rPr>
          <w:rFonts w:ascii="Verdana" w:hAnsi="Verdana" w:cs="Tahoma"/>
          <w:b/>
          <w:sz w:val="20"/>
          <w:szCs w:val="20"/>
        </w:rPr>
      </w:pPr>
      <w:bookmarkStart w:id="0" w:name="_GoBack"/>
      <w:r w:rsidRPr="00247F88">
        <w:rPr>
          <w:rFonts w:ascii="Verdana" w:hAnsi="Verdana" w:cs="Tahoma"/>
          <w:b/>
          <w:sz w:val="20"/>
          <w:szCs w:val="20"/>
        </w:rPr>
        <w:lastRenderedPageBreak/>
        <w:t xml:space="preserve">Wykres </w:t>
      </w:r>
      <w:r w:rsidR="00166003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>
        <w:rPr>
          <w:rFonts w:ascii="Verdana" w:hAnsi="Verdana" w:cs="Tahoma"/>
          <w:b/>
          <w:sz w:val="20"/>
          <w:szCs w:val="20"/>
        </w:rPr>
        <w:t xml:space="preserve">niejszych ligach europejskich w </w:t>
      </w:r>
      <w:r w:rsidR="00ED60D1">
        <w:rPr>
          <w:rFonts w:ascii="Verdana" w:hAnsi="Verdana" w:cs="Tahoma"/>
          <w:b/>
          <w:sz w:val="20"/>
          <w:szCs w:val="20"/>
        </w:rPr>
        <w:t>styczniu 2020</w:t>
      </w:r>
      <w:r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F13640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10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bookmarkEnd w:id="0"/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15" w:rsidRDefault="00D80115" w:rsidP="004F00D5">
      <w:pPr>
        <w:spacing w:after="0" w:line="240" w:lineRule="auto"/>
      </w:pPr>
      <w:r>
        <w:separator/>
      </w:r>
    </w:p>
  </w:endnote>
  <w:endnote w:type="continuationSeparator" w:id="0">
    <w:p w:rsidR="00D80115" w:rsidRDefault="00D80115" w:rsidP="004F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15" w:rsidRDefault="00D80115" w:rsidP="004F00D5">
      <w:pPr>
        <w:spacing w:after="0" w:line="240" w:lineRule="auto"/>
      </w:pPr>
      <w:r>
        <w:separator/>
      </w:r>
    </w:p>
  </w:footnote>
  <w:footnote w:type="continuationSeparator" w:id="0">
    <w:p w:rsidR="00D80115" w:rsidRDefault="00D80115" w:rsidP="004F0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377"/>
    <w:rsid w:val="000063C0"/>
    <w:rsid w:val="00006F0E"/>
    <w:rsid w:val="00007032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80EF2"/>
    <w:rsid w:val="000945AD"/>
    <w:rsid w:val="000A1BF2"/>
    <w:rsid w:val="000E3B9E"/>
    <w:rsid w:val="00110FCF"/>
    <w:rsid w:val="00113372"/>
    <w:rsid w:val="00114B6F"/>
    <w:rsid w:val="0013544A"/>
    <w:rsid w:val="0013696E"/>
    <w:rsid w:val="00146EC0"/>
    <w:rsid w:val="001477D6"/>
    <w:rsid w:val="001537BE"/>
    <w:rsid w:val="001540EE"/>
    <w:rsid w:val="00166003"/>
    <w:rsid w:val="00176C60"/>
    <w:rsid w:val="001A435A"/>
    <w:rsid w:val="001C5133"/>
    <w:rsid w:val="001D0D93"/>
    <w:rsid w:val="001F2A0C"/>
    <w:rsid w:val="0020466A"/>
    <w:rsid w:val="002100F7"/>
    <w:rsid w:val="002201F8"/>
    <w:rsid w:val="00221CC6"/>
    <w:rsid w:val="00226848"/>
    <w:rsid w:val="00226F76"/>
    <w:rsid w:val="00241AB2"/>
    <w:rsid w:val="00247F88"/>
    <w:rsid w:val="002748AD"/>
    <w:rsid w:val="00285537"/>
    <w:rsid w:val="00291294"/>
    <w:rsid w:val="002A47F5"/>
    <w:rsid w:val="002B120E"/>
    <w:rsid w:val="002B4E57"/>
    <w:rsid w:val="002B797D"/>
    <w:rsid w:val="002D3005"/>
    <w:rsid w:val="002D43F7"/>
    <w:rsid w:val="002D6604"/>
    <w:rsid w:val="002E1A46"/>
    <w:rsid w:val="002F6F41"/>
    <w:rsid w:val="0030060A"/>
    <w:rsid w:val="00302623"/>
    <w:rsid w:val="00302883"/>
    <w:rsid w:val="00310ECC"/>
    <w:rsid w:val="00335D68"/>
    <w:rsid w:val="00341340"/>
    <w:rsid w:val="003538A5"/>
    <w:rsid w:val="0036068F"/>
    <w:rsid w:val="00364DC5"/>
    <w:rsid w:val="003659D6"/>
    <w:rsid w:val="00384703"/>
    <w:rsid w:val="00385D92"/>
    <w:rsid w:val="0039405D"/>
    <w:rsid w:val="00394E7F"/>
    <w:rsid w:val="003C554E"/>
    <w:rsid w:val="003D50BD"/>
    <w:rsid w:val="004312F4"/>
    <w:rsid w:val="00434677"/>
    <w:rsid w:val="0044665C"/>
    <w:rsid w:val="0045392D"/>
    <w:rsid w:val="0046393C"/>
    <w:rsid w:val="004643E6"/>
    <w:rsid w:val="00467EEA"/>
    <w:rsid w:val="00480937"/>
    <w:rsid w:val="004861A4"/>
    <w:rsid w:val="004A152F"/>
    <w:rsid w:val="004D5854"/>
    <w:rsid w:val="004E1E86"/>
    <w:rsid w:val="004F00D5"/>
    <w:rsid w:val="00503E2C"/>
    <w:rsid w:val="005330A0"/>
    <w:rsid w:val="00562442"/>
    <w:rsid w:val="00563CB2"/>
    <w:rsid w:val="005717E8"/>
    <w:rsid w:val="005762BA"/>
    <w:rsid w:val="00577712"/>
    <w:rsid w:val="00591338"/>
    <w:rsid w:val="005A4A80"/>
    <w:rsid w:val="005B1D13"/>
    <w:rsid w:val="005B28CF"/>
    <w:rsid w:val="005C2FE4"/>
    <w:rsid w:val="005C3038"/>
    <w:rsid w:val="005E6826"/>
    <w:rsid w:val="005F59F9"/>
    <w:rsid w:val="005F65E7"/>
    <w:rsid w:val="00606806"/>
    <w:rsid w:val="00620F98"/>
    <w:rsid w:val="00631176"/>
    <w:rsid w:val="00640D13"/>
    <w:rsid w:val="00641D87"/>
    <w:rsid w:val="00642F18"/>
    <w:rsid w:val="00653CE9"/>
    <w:rsid w:val="00676CB2"/>
    <w:rsid w:val="00677B81"/>
    <w:rsid w:val="006A0616"/>
    <w:rsid w:val="006A0D60"/>
    <w:rsid w:val="006C19FF"/>
    <w:rsid w:val="006C4D4A"/>
    <w:rsid w:val="006D092F"/>
    <w:rsid w:val="006D0EA5"/>
    <w:rsid w:val="006F3397"/>
    <w:rsid w:val="006F351D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3B9C"/>
    <w:rsid w:val="007B6429"/>
    <w:rsid w:val="007B6C23"/>
    <w:rsid w:val="007C6A02"/>
    <w:rsid w:val="007F1830"/>
    <w:rsid w:val="007F551A"/>
    <w:rsid w:val="007F5E26"/>
    <w:rsid w:val="00803095"/>
    <w:rsid w:val="00815BE9"/>
    <w:rsid w:val="00827D3A"/>
    <w:rsid w:val="00831426"/>
    <w:rsid w:val="00845036"/>
    <w:rsid w:val="008462E8"/>
    <w:rsid w:val="00872B92"/>
    <w:rsid w:val="00874475"/>
    <w:rsid w:val="00884548"/>
    <w:rsid w:val="00896E10"/>
    <w:rsid w:val="008A0CC8"/>
    <w:rsid w:val="008A3114"/>
    <w:rsid w:val="008D3A45"/>
    <w:rsid w:val="008E266C"/>
    <w:rsid w:val="008E4C7B"/>
    <w:rsid w:val="008E7F34"/>
    <w:rsid w:val="008F4B1A"/>
    <w:rsid w:val="009064CE"/>
    <w:rsid w:val="00916170"/>
    <w:rsid w:val="00925D37"/>
    <w:rsid w:val="00926F26"/>
    <w:rsid w:val="0093284A"/>
    <w:rsid w:val="00934191"/>
    <w:rsid w:val="00966142"/>
    <w:rsid w:val="009969D3"/>
    <w:rsid w:val="009A3D6E"/>
    <w:rsid w:val="009B4EFD"/>
    <w:rsid w:val="009C204D"/>
    <w:rsid w:val="009C3EB2"/>
    <w:rsid w:val="009D4A50"/>
    <w:rsid w:val="009F1525"/>
    <w:rsid w:val="009F19B6"/>
    <w:rsid w:val="009F4ABD"/>
    <w:rsid w:val="009F70E4"/>
    <w:rsid w:val="00A12A7E"/>
    <w:rsid w:val="00A147C4"/>
    <w:rsid w:val="00A158F1"/>
    <w:rsid w:val="00A15D18"/>
    <w:rsid w:val="00A22E05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E44DE"/>
    <w:rsid w:val="00AE61AD"/>
    <w:rsid w:val="00AF0372"/>
    <w:rsid w:val="00B1774B"/>
    <w:rsid w:val="00B40C30"/>
    <w:rsid w:val="00B65B73"/>
    <w:rsid w:val="00B81C53"/>
    <w:rsid w:val="00BA5CAB"/>
    <w:rsid w:val="00BB13AC"/>
    <w:rsid w:val="00BB2322"/>
    <w:rsid w:val="00BB3D42"/>
    <w:rsid w:val="00BC6747"/>
    <w:rsid w:val="00BD0F5F"/>
    <w:rsid w:val="00BD437D"/>
    <w:rsid w:val="00BD53B1"/>
    <w:rsid w:val="00BD53EB"/>
    <w:rsid w:val="00BE646F"/>
    <w:rsid w:val="00BF5AF4"/>
    <w:rsid w:val="00C06068"/>
    <w:rsid w:val="00C21325"/>
    <w:rsid w:val="00C23ED8"/>
    <w:rsid w:val="00C366D9"/>
    <w:rsid w:val="00C369FB"/>
    <w:rsid w:val="00C40353"/>
    <w:rsid w:val="00C40FE1"/>
    <w:rsid w:val="00C4397B"/>
    <w:rsid w:val="00C44E1E"/>
    <w:rsid w:val="00C51BF2"/>
    <w:rsid w:val="00C93134"/>
    <w:rsid w:val="00C94154"/>
    <w:rsid w:val="00C97532"/>
    <w:rsid w:val="00CA1985"/>
    <w:rsid w:val="00CB0D4E"/>
    <w:rsid w:val="00CB1EE3"/>
    <w:rsid w:val="00CC2AE8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54996"/>
    <w:rsid w:val="00D613FF"/>
    <w:rsid w:val="00D653AB"/>
    <w:rsid w:val="00D65A33"/>
    <w:rsid w:val="00D75965"/>
    <w:rsid w:val="00D80115"/>
    <w:rsid w:val="00D80FAA"/>
    <w:rsid w:val="00D97D05"/>
    <w:rsid w:val="00DB2A2C"/>
    <w:rsid w:val="00DB3D57"/>
    <w:rsid w:val="00DB4701"/>
    <w:rsid w:val="00DC3806"/>
    <w:rsid w:val="00DC5C3C"/>
    <w:rsid w:val="00DE16B1"/>
    <w:rsid w:val="00DE1CF7"/>
    <w:rsid w:val="00E41D9A"/>
    <w:rsid w:val="00E91766"/>
    <w:rsid w:val="00EA2C1E"/>
    <w:rsid w:val="00EC3B6B"/>
    <w:rsid w:val="00EC68CC"/>
    <w:rsid w:val="00ED0A59"/>
    <w:rsid w:val="00ED1CCB"/>
    <w:rsid w:val="00ED60D1"/>
    <w:rsid w:val="00EE05F1"/>
    <w:rsid w:val="00EE2DCC"/>
    <w:rsid w:val="00F06726"/>
    <w:rsid w:val="00F13640"/>
    <w:rsid w:val="00F14853"/>
    <w:rsid w:val="00F14E9C"/>
    <w:rsid w:val="00F32BED"/>
    <w:rsid w:val="00F37313"/>
    <w:rsid w:val="00F72AC8"/>
    <w:rsid w:val="00F74AFC"/>
    <w:rsid w:val="00FC4592"/>
    <w:rsid w:val="00FC532A"/>
    <w:rsid w:val="00FD1351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F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0D5"/>
  </w:style>
  <w:style w:type="paragraph" w:styleId="Stopka">
    <w:name w:val="footer"/>
    <w:basedOn w:val="Normalny"/>
    <w:link w:val="StopkaZnak"/>
    <w:uiPriority w:val="99"/>
    <w:unhideWhenUsed/>
    <w:rsid w:val="004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F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0D5"/>
  </w:style>
  <w:style w:type="paragraph" w:styleId="Stopka">
    <w:name w:val="footer"/>
    <w:basedOn w:val="Normalny"/>
    <w:link w:val="StopkaZnak"/>
    <w:uiPriority w:val="99"/>
    <w:unhideWhenUsed/>
    <w:rsid w:val="004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psmm.p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azwisko@psm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facebook.com/PSMMonito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1.2020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1.2020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1.2020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Zagłębie Lubin</c:v>
                </c:pt>
                <c:pt idx="1">
                  <c:v>Pogoń Szczecin</c:v>
                </c:pt>
                <c:pt idx="2">
                  <c:v>Górnik Zabrze</c:v>
                </c:pt>
                <c:pt idx="3">
                  <c:v>Lechia Gdańsk</c:v>
                </c:pt>
                <c:pt idx="4">
                  <c:v>Jagiellonia Białystok</c:v>
                </c:pt>
                <c:pt idx="5">
                  <c:v>Cracovia </c:v>
                </c:pt>
                <c:pt idx="6">
                  <c:v>Wisła Kraków</c:v>
                </c:pt>
                <c:pt idx="7">
                  <c:v>Lech Poznań</c:v>
                </c:pt>
                <c:pt idx="8">
                  <c:v>Śląsk Wrocław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991</c:v>
                </c:pt>
                <c:pt idx="1">
                  <c:v>1138</c:v>
                </c:pt>
                <c:pt idx="2">
                  <c:v>1154</c:v>
                </c:pt>
                <c:pt idx="3">
                  <c:v>1222</c:v>
                </c:pt>
                <c:pt idx="4">
                  <c:v>1336</c:v>
                </c:pt>
                <c:pt idx="5">
                  <c:v>1389</c:v>
                </c:pt>
                <c:pt idx="6">
                  <c:v>1572</c:v>
                </c:pt>
                <c:pt idx="7">
                  <c:v>1697</c:v>
                </c:pt>
                <c:pt idx="8">
                  <c:v>1866</c:v>
                </c:pt>
                <c:pt idx="9">
                  <c:v>2373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319104"/>
        <c:axId val="152790144"/>
      </c:barChart>
      <c:catAx>
        <c:axId val="1723191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52790144"/>
        <c:crosses val="autoZero"/>
        <c:auto val="1"/>
        <c:lblAlgn val="ctr"/>
        <c:lblOffset val="100"/>
        <c:noMultiLvlLbl val="0"/>
      </c:catAx>
      <c:valAx>
        <c:axId val="152790144"/>
        <c:scaling>
          <c:orientation val="minMax"/>
          <c:max val="3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231910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Odra Opole</c:v>
                </c:pt>
                <c:pt idx="1">
                  <c:v>Podbeskidzie Bielsko-Biała</c:v>
                </c:pt>
                <c:pt idx="2">
                  <c:v>Miedź Legnica</c:v>
                </c:pt>
                <c:pt idx="3">
                  <c:v>Sandecja Nowy Sącz</c:v>
                </c:pt>
                <c:pt idx="4">
                  <c:v>Warta Poznań</c:v>
                </c:pt>
                <c:pt idx="5">
                  <c:v>Zagłębie Sosnowiec</c:v>
                </c:pt>
                <c:pt idx="6">
                  <c:v>Bruk-Bet Termalica Nieciecza</c:v>
                </c:pt>
                <c:pt idx="7">
                  <c:v>Radomiak Radom</c:v>
                </c:pt>
                <c:pt idx="8">
                  <c:v>GKS 1962 Jastrzębie</c:v>
                </c:pt>
                <c:pt idx="9">
                  <c:v>Stal Mielec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281</c:v>
                </c:pt>
                <c:pt idx="1">
                  <c:v>309</c:v>
                </c:pt>
                <c:pt idx="2">
                  <c:v>314</c:v>
                </c:pt>
                <c:pt idx="3">
                  <c:v>321</c:v>
                </c:pt>
                <c:pt idx="4">
                  <c:v>340</c:v>
                </c:pt>
                <c:pt idx="5">
                  <c:v>383</c:v>
                </c:pt>
                <c:pt idx="6">
                  <c:v>384</c:v>
                </c:pt>
                <c:pt idx="7">
                  <c:v>399</c:v>
                </c:pt>
                <c:pt idx="8">
                  <c:v>399</c:v>
                </c:pt>
                <c:pt idx="9">
                  <c:v>578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57342336"/>
        <c:axId val="159117696"/>
      </c:barChart>
      <c:catAx>
        <c:axId val="157342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59117696"/>
        <c:crosses val="autoZero"/>
        <c:auto val="1"/>
        <c:lblAlgn val="ctr"/>
        <c:lblOffset val="100"/>
        <c:noMultiLvlLbl val="0"/>
      </c:catAx>
      <c:valAx>
        <c:axId val="159117696"/>
        <c:scaling>
          <c:orientation val="minMax"/>
          <c:max val="7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34233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Kamil Glik</c:v>
                </c:pt>
                <c:pt idx="1">
                  <c:v>Karol Linetty</c:v>
                </c:pt>
                <c:pt idx="2">
                  <c:v>Bartłomiej Drągowski</c:v>
                </c:pt>
                <c:pt idx="3">
                  <c:v>Łukasz Fabiański </c:v>
                </c:pt>
                <c:pt idx="4">
                  <c:v>Jan Bednarek</c:v>
                </c:pt>
                <c:pt idx="5">
                  <c:v>Wojciech Szczęsny </c:v>
                </c:pt>
                <c:pt idx="6">
                  <c:v>Piotr Zieliński</c:v>
                </c:pt>
                <c:pt idx="7">
                  <c:v>Arkadiusz Milik</c:v>
                </c:pt>
                <c:pt idx="8">
                  <c:v>Robert Lewandowski</c:v>
                </c:pt>
                <c:pt idx="9">
                  <c:v>Krzysztof Piątek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267</c:v>
                </c:pt>
                <c:pt idx="1">
                  <c:v>287</c:v>
                </c:pt>
                <c:pt idx="2">
                  <c:v>294</c:v>
                </c:pt>
                <c:pt idx="3">
                  <c:v>472</c:v>
                </c:pt>
                <c:pt idx="4">
                  <c:v>533</c:v>
                </c:pt>
                <c:pt idx="5">
                  <c:v>603</c:v>
                </c:pt>
                <c:pt idx="6">
                  <c:v>639</c:v>
                </c:pt>
                <c:pt idx="7">
                  <c:v>729</c:v>
                </c:pt>
                <c:pt idx="8">
                  <c:v>1729</c:v>
                </c:pt>
                <c:pt idx="9">
                  <c:v>2012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747904"/>
        <c:axId val="34749440"/>
      </c:barChart>
      <c:catAx>
        <c:axId val="34747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4749440"/>
        <c:crosses val="autoZero"/>
        <c:auto val="1"/>
        <c:lblAlgn val="ctr"/>
        <c:lblOffset val="100"/>
        <c:noMultiLvlLbl val="0"/>
      </c:catAx>
      <c:valAx>
        <c:axId val="34749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74790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0.68852</cdr:x>
      <cdr:y>0.63601</cdr:y>
    </cdr:from>
    <cdr:to>
      <cdr:x>0.93678</cdr:x>
      <cdr:y>0.79913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77498" y="1836739"/>
          <a:ext cx="1362053" cy="47107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0.68011</cdr:x>
      <cdr:y>0.52074</cdr:y>
    </cdr:from>
    <cdr:to>
      <cdr:x>0.92837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3918" y="1597212"/>
          <a:ext cx="1352039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3</cp:revision>
  <dcterms:created xsi:type="dcterms:W3CDTF">2020-02-12T09:37:00Z</dcterms:created>
  <dcterms:modified xsi:type="dcterms:W3CDTF">2020-02-13T12:57:00Z</dcterms:modified>
</cp:coreProperties>
</file>