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3E453F">
        <w:rPr>
          <w:rFonts w:ascii="Verdana" w:hAnsi="Verdana"/>
          <w:sz w:val="20"/>
          <w:szCs w:val="20"/>
        </w:rPr>
        <w:t>8</w:t>
      </w:r>
      <w:r w:rsidR="00D65A33">
        <w:rPr>
          <w:rFonts w:ascii="Verdana" w:hAnsi="Verdana"/>
          <w:sz w:val="20"/>
          <w:szCs w:val="20"/>
        </w:rPr>
        <w:t xml:space="preserve"> maja</w:t>
      </w:r>
      <w:r w:rsidR="00713905">
        <w:rPr>
          <w:rFonts w:ascii="Verdana" w:hAnsi="Verdana"/>
          <w:sz w:val="20"/>
          <w:szCs w:val="20"/>
        </w:rPr>
        <w:t xml:space="preserve"> </w:t>
      </w:r>
      <w:r w:rsidR="00C06068">
        <w:rPr>
          <w:rFonts w:ascii="Verdana" w:hAnsi="Verdana"/>
          <w:sz w:val="20"/>
          <w:szCs w:val="20"/>
        </w:rPr>
        <w:t>2019</w:t>
      </w:r>
      <w:r w:rsidRPr="002100F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AA68C0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Legia </w:t>
      </w:r>
      <w:r w:rsidR="00D65A33">
        <w:rPr>
          <w:rFonts w:ascii="Verdana" w:hAnsi="Verdana"/>
          <w:sz w:val="20"/>
          <w:szCs w:val="20"/>
        </w:rPr>
        <w:t>zwiększa przewagę, Piątek znowu przed Lewandowskim</w:t>
      </w:r>
    </w:p>
    <w:p w:rsidR="00302623" w:rsidRDefault="00D65A33" w:rsidP="00AA43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Krzysztof Piątek wrócił na szczyt rankingu medialności wśród polskich piłkarzy będących zawodnikami klubów pięciu naj</w:t>
      </w:r>
      <w:r w:rsidR="008566ED">
        <w:rPr>
          <w:rFonts w:ascii="Verdana" w:hAnsi="Verdana"/>
          <w:b/>
          <w:sz w:val="20"/>
          <w:szCs w:val="20"/>
        </w:rPr>
        <w:t>silniejszych europejskich lig</w:t>
      </w:r>
      <w:r>
        <w:rPr>
          <w:rFonts w:ascii="Verdana" w:hAnsi="Verdana"/>
          <w:b/>
          <w:sz w:val="20"/>
          <w:szCs w:val="20"/>
        </w:rPr>
        <w:t>, a Legia Warszawa zwiększyła przewagę nad resztą stawki w LOTTO Ekstraklasie - wynika z kwietniowego raportu</w:t>
      </w:r>
      <w:r w:rsidR="00302623" w:rsidRPr="00302623">
        <w:rPr>
          <w:rFonts w:ascii="Verdana" w:hAnsi="Verdana"/>
          <w:b/>
          <w:sz w:val="20"/>
          <w:szCs w:val="20"/>
        </w:rPr>
        <w:t xml:space="preserve"> </w:t>
      </w:r>
      <w:r w:rsidR="00874475">
        <w:rPr>
          <w:rFonts w:ascii="Verdana" w:hAnsi="Verdana"/>
          <w:b/>
          <w:sz w:val="20"/>
          <w:szCs w:val="20"/>
        </w:rPr>
        <w:t>PRESS-SERVICE Monitoring Mediów</w:t>
      </w:r>
      <w:r w:rsidR="00302623" w:rsidRPr="00302623">
        <w:rPr>
          <w:rFonts w:ascii="Verdana" w:hAnsi="Verdana"/>
          <w:b/>
          <w:sz w:val="20"/>
          <w:szCs w:val="20"/>
        </w:rPr>
        <w:t>.</w:t>
      </w:r>
      <w:r w:rsidR="00302623">
        <w:rPr>
          <w:rFonts w:ascii="Verdana" w:hAnsi="Verdana"/>
          <w:b/>
          <w:sz w:val="20"/>
          <w:szCs w:val="20"/>
        </w:rPr>
        <w:t xml:space="preserve"> </w:t>
      </w:r>
    </w:p>
    <w:p w:rsidR="00D65A33" w:rsidRDefault="00B35CD7" w:rsidP="00AA43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Dominacja</w:t>
      </w:r>
      <w:r w:rsidR="00D65A33">
        <w:rPr>
          <w:rFonts w:ascii="Verdana" w:hAnsi="Verdana"/>
          <w:sz w:val="20"/>
          <w:szCs w:val="20"/>
        </w:rPr>
        <w:t xml:space="preserve"> Legii wynika z aż </w:t>
      </w:r>
      <w:r w:rsidR="008566ED">
        <w:rPr>
          <w:rFonts w:ascii="Verdana" w:hAnsi="Verdana"/>
          <w:sz w:val="20"/>
          <w:szCs w:val="20"/>
        </w:rPr>
        <w:t xml:space="preserve">sześciu </w:t>
      </w:r>
      <w:r w:rsidR="00D65A33">
        <w:rPr>
          <w:rFonts w:ascii="Verdana" w:hAnsi="Verdana"/>
          <w:sz w:val="20"/>
          <w:szCs w:val="20"/>
        </w:rPr>
        <w:t>kolejek najwyższej klasy rozgrywkowej w Polsce</w:t>
      </w:r>
      <w:r w:rsidR="008566ED">
        <w:rPr>
          <w:rFonts w:ascii="Verdana" w:hAnsi="Verdana"/>
          <w:sz w:val="20"/>
          <w:szCs w:val="20"/>
        </w:rPr>
        <w:t>, które miały miejsce w kwietniu</w:t>
      </w:r>
      <w:r w:rsidR="00D65A33">
        <w:rPr>
          <w:rFonts w:ascii="Verdana" w:hAnsi="Verdana"/>
          <w:sz w:val="20"/>
          <w:szCs w:val="20"/>
        </w:rPr>
        <w:t>. W przypadku braku nadzwyczajnych wydarzeń pozasportowych w innych klubach oraz przyzwoitej postawie piłkarskiej stołecznego klubu</w:t>
      </w:r>
      <w:r w:rsidR="00831426">
        <w:rPr>
          <w:rFonts w:ascii="Verdana" w:hAnsi="Verdana"/>
          <w:sz w:val="20"/>
          <w:szCs w:val="20"/>
        </w:rPr>
        <w:t>, Legia w ostatnich latach udowodniła, że jest zdecydowanie najbardziej medialnym zespołem</w:t>
      </w:r>
      <w:r w:rsidR="002748AD">
        <w:rPr>
          <w:rFonts w:ascii="Verdana" w:hAnsi="Verdana"/>
          <w:sz w:val="20"/>
          <w:szCs w:val="20"/>
        </w:rPr>
        <w:t xml:space="preserve"> w Polsce</w:t>
      </w:r>
      <w:r w:rsidR="00831426">
        <w:rPr>
          <w:rFonts w:ascii="Verdana" w:hAnsi="Verdana"/>
          <w:sz w:val="20"/>
          <w:szCs w:val="20"/>
        </w:rPr>
        <w:t xml:space="preserve">. Liczbę publikacji zwiększyły także dwa </w:t>
      </w:r>
      <w:proofErr w:type="spellStart"/>
      <w:r w:rsidR="00831426">
        <w:rPr>
          <w:rFonts w:ascii="Verdana" w:hAnsi="Verdana"/>
          <w:sz w:val="20"/>
          <w:szCs w:val="20"/>
        </w:rPr>
        <w:t>hitowe</w:t>
      </w:r>
      <w:proofErr w:type="spellEnd"/>
      <w:r w:rsidR="00831426">
        <w:rPr>
          <w:rFonts w:ascii="Verdana" w:hAnsi="Verdana"/>
          <w:sz w:val="20"/>
          <w:szCs w:val="20"/>
        </w:rPr>
        <w:t xml:space="preserve"> pojedynki - najpierw z </w:t>
      </w:r>
      <w:r w:rsidR="008566ED">
        <w:rPr>
          <w:rFonts w:ascii="Verdana" w:hAnsi="Verdana"/>
          <w:sz w:val="20"/>
          <w:szCs w:val="20"/>
        </w:rPr>
        <w:t xml:space="preserve">Lechem, a potem z Lechią – ten </w:t>
      </w:r>
      <w:r w:rsidR="00831426">
        <w:rPr>
          <w:rFonts w:ascii="Verdana" w:hAnsi="Verdana"/>
          <w:sz w:val="20"/>
          <w:szCs w:val="20"/>
        </w:rPr>
        <w:t xml:space="preserve">zakończył </w:t>
      </w:r>
      <w:r w:rsidR="00831426" w:rsidRPr="00831426">
        <w:rPr>
          <w:rFonts w:ascii="Verdana" w:hAnsi="Verdana"/>
          <w:sz w:val="20"/>
          <w:szCs w:val="20"/>
        </w:rPr>
        <w:t xml:space="preserve">się </w:t>
      </w:r>
      <w:r w:rsidR="00831426">
        <w:rPr>
          <w:rFonts w:ascii="Verdana" w:hAnsi="Verdana"/>
          <w:sz w:val="20"/>
          <w:szCs w:val="20"/>
        </w:rPr>
        <w:t>kontrowersjami wokół sędziego i systemu VAR, co było przedmiotem wielu publikacji i dyskusji w kolejnych dniach po meczu.</w:t>
      </w:r>
    </w:p>
    <w:p w:rsidR="00803095" w:rsidRDefault="00080EF2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Drugie miejsce dość niespodziewanie zajęła Lechia Gdańsk, która jeszcze nigdy w historii analizy (</w:t>
      </w:r>
      <w:r w:rsidR="002748AD">
        <w:rPr>
          <w:rFonts w:ascii="Verdana" w:hAnsi="Verdana"/>
          <w:sz w:val="20"/>
          <w:szCs w:val="20"/>
        </w:rPr>
        <w:t xml:space="preserve">raport jest </w:t>
      </w:r>
      <w:r>
        <w:rPr>
          <w:rFonts w:ascii="Verdana" w:hAnsi="Verdana"/>
          <w:sz w:val="20"/>
          <w:szCs w:val="20"/>
        </w:rPr>
        <w:t xml:space="preserve">tworzony od marca 2010) nie była tak </w:t>
      </w:r>
      <w:r w:rsidR="008566ED">
        <w:rPr>
          <w:rFonts w:ascii="Verdana" w:hAnsi="Verdana"/>
          <w:sz w:val="20"/>
          <w:szCs w:val="20"/>
        </w:rPr>
        <w:t>wysoko. Biało-zieloni pozycję tę</w:t>
      </w:r>
      <w:r>
        <w:rPr>
          <w:rFonts w:ascii="Verdana" w:hAnsi="Verdana"/>
          <w:sz w:val="20"/>
          <w:szCs w:val="20"/>
        </w:rPr>
        <w:t xml:space="preserve"> zawdzięczają mecz</w:t>
      </w:r>
      <w:r w:rsidR="00B35CD7">
        <w:rPr>
          <w:rFonts w:ascii="Verdana" w:hAnsi="Verdana"/>
          <w:sz w:val="20"/>
          <w:szCs w:val="20"/>
        </w:rPr>
        <w:t>owi z Legią, a także materiałom</w:t>
      </w:r>
      <w:r>
        <w:rPr>
          <w:rFonts w:ascii="Verdana" w:hAnsi="Verdana"/>
          <w:sz w:val="20"/>
          <w:szCs w:val="20"/>
        </w:rPr>
        <w:t xml:space="preserve"> o szansach na mistrzostwo Polski i tych związanych z występami w Totolotek Pucharze Polski. Trzeci Lech Poznań zepchnął Wisłę Kraków poza podium po raz pierwszy od grudnia 2018 r.</w:t>
      </w:r>
      <w:r w:rsidR="00803095">
        <w:rPr>
          <w:rFonts w:ascii="Verdana" w:hAnsi="Verdana"/>
          <w:sz w:val="20"/>
          <w:szCs w:val="20"/>
        </w:rPr>
        <w:t xml:space="preserve"> </w:t>
      </w:r>
    </w:p>
    <w:p w:rsidR="002100F7" w:rsidRPr="002100F7" w:rsidRDefault="00080EF2" w:rsidP="002100F7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F65FCC9" wp14:editId="727EE928">
            <wp:extent cx="5446059" cy="3067050"/>
            <wp:effectExtent l="0" t="0" r="2540" b="0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2100F7">
        <w:rPr>
          <w:rFonts w:ascii="Verdana" w:hAnsi="Verdana" w:cs="Tahoma"/>
          <w:b/>
          <w:sz w:val="20"/>
          <w:szCs w:val="20"/>
        </w:rPr>
        <w:t xml:space="preserve"> </w:t>
      </w:r>
      <w:r w:rsidR="002100F7"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563CB2">
        <w:rPr>
          <w:rFonts w:ascii="Verdana" w:hAnsi="Verdana" w:cs="Tahoma"/>
          <w:b/>
          <w:sz w:val="20"/>
          <w:szCs w:val="20"/>
        </w:rPr>
        <w:t xml:space="preserve">ych drużyn LOTTO Ekstraklasy w </w:t>
      </w:r>
      <w:r>
        <w:rPr>
          <w:rFonts w:ascii="Verdana" w:hAnsi="Verdana" w:cs="Tahoma"/>
          <w:b/>
          <w:sz w:val="20"/>
          <w:szCs w:val="20"/>
        </w:rPr>
        <w:t>kwietniu</w:t>
      </w:r>
      <w:r w:rsidR="00341340">
        <w:rPr>
          <w:rFonts w:ascii="Verdana" w:hAnsi="Verdana" w:cs="Tahoma"/>
          <w:b/>
          <w:sz w:val="20"/>
          <w:szCs w:val="20"/>
        </w:rPr>
        <w:t xml:space="preserve"> 2019 </w:t>
      </w:r>
      <w:r w:rsidR="002100F7"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706A70" w:rsidRDefault="00080EF2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rankingu medialności Fortuna 1. Ligi Raków Częstochowa</w:t>
      </w:r>
      <w:r w:rsidR="002748AD" w:rsidRPr="002748AD">
        <w:rPr>
          <w:rFonts w:ascii="Verdana" w:hAnsi="Verdana"/>
          <w:sz w:val="20"/>
          <w:szCs w:val="20"/>
        </w:rPr>
        <w:t xml:space="preserve"> </w:t>
      </w:r>
      <w:r w:rsidR="002748AD">
        <w:rPr>
          <w:rFonts w:ascii="Verdana" w:hAnsi="Verdana"/>
          <w:sz w:val="20"/>
          <w:szCs w:val="20"/>
        </w:rPr>
        <w:t>po raz kolejny</w:t>
      </w:r>
      <w:r>
        <w:rPr>
          <w:rFonts w:ascii="Verdana" w:hAnsi="Verdana"/>
          <w:sz w:val="20"/>
          <w:szCs w:val="20"/>
        </w:rPr>
        <w:t xml:space="preserve"> nie miał sobie równych. Zespół prowadzony przez Marka </w:t>
      </w:r>
      <w:proofErr w:type="spellStart"/>
      <w:r>
        <w:rPr>
          <w:rFonts w:ascii="Verdana" w:hAnsi="Verdana"/>
          <w:sz w:val="20"/>
          <w:szCs w:val="20"/>
        </w:rPr>
        <w:t>Papszuna</w:t>
      </w:r>
      <w:proofErr w:type="spellEnd"/>
      <w:r>
        <w:rPr>
          <w:rFonts w:ascii="Verdana" w:hAnsi="Verdana"/>
          <w:sz w:val="20"/>
          <w:szCs w:val="20"/>
        </w:rPr>
        <w:t xml:space="preserve"> na cztery kolejki przed końcem rozgrywek zapewnił sobie awans do LOTTO Ekstraklasy, a dodatkowo zagrał w półfinale Totolotek Pucharu Polski, </w:t>
      </w:r>
      <w:r w:rsidR="002748AD">
        <w:rPr>
          <w:rFonts w:ascii="Verdana" w:hAnsi="Verdana"/>
          <w:sz w:val="20"/>
          <w:szCs w:val="20"/>
        </w:rPr>
        <w:t>w którym</w:t>
      </w:r>
      <w:r>
        <w:rPr>
          <w:rFonts w:ascii="Verdana" w:hAnsi="Verdana"/>
          <w:sz w:val="20"/>
          <w:szCs w:val="20"/>
        </w:rPr>
        <w:t xml:space="preserve"> uległ gdańskiej Lechii.</w:t>
      </w:r>
      <w:r w:rsidR="009F70E4">
        <w:rPr>
          <w:rFonts w:ascii="Verdana" w:hAnsi="Verdana"/>
          <w:sz w:val="20"/>
          <w:szCs w:val="20"/>
        </w:rPr>
        <w:t xml:space="preserve"> Na kolejnych miejscach także obyło się bez zaskoczeń - podium uzupełniły regularnie tam przebywające zespoły Stali Mielec i </w:t>
      </w:r>
      <w:proofErr w:type="spellStart"/>
      <w:r w:rsidR="009F70E4">
        <w:rPr>
          <w:rFonts w:ascii="Verdana" w:hAnsi="Verdana"/>
          <w:sz w:val="20"/>
          <w:szCs w:val="20"/>
        </w:rPr>
        <w:t>Sandecji</w:t>
      </w:r>
      <w:proofErr w:type="spellEnd"/>
      <w:r w:rsidR="009F70E4">
        <w:rPr>
          <w:rFonts w:ascii="Verdana" w:hAnsi="Verdana"/>
          <w:sz w:val="20"/>
          <w:szCs w:val="20"/>
        </w:rPr>
        <w:t xml:space="preserve"> Nowy Sącz, o której najczęściej spośród wszystkich zespołów pisano w </w:t>
      </w:r>
      <w:r w:rsidR="009F70E4">
        <w:rPr>
          <w:rFonts w:ascii="Verdana" w:hAnsi="Verdana"/>
          <w:sz w:val="20"/>
          <w:szCs w:val="20"/>
        </w:rPr>
        <w:lastRenderedPageBreak/>
        <w:t xml:space="preserve">kwestiach </w:t>
      </w:r>
      <w:r w:rsidR="002748AD">
        <w:rPr>
          <w:rFonts w:ascii="Verdana" w:hAnsi="Verdana"/>
          <w:sz w:val="20"/>
          <w:szCs w:val="20"/>
        </w:rPr>
        <w:t>organizacyjnych - przede wszystkim braku chęci władz na awans do LOTTO Ekstraklasy (czym zajął się rzecznik dyscyplinarny PZPN), nowym stadionie, a także nowym prezesie.</w:t>
      </w:r>
    </w:p>
    <w:p w:rsidR="00C23ED8" w:rsidRPr="002100F7" w:rsidRDefault="009F70E4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F4603A4" wp14:editId="6B61701C">
            <wp:extent cx="5446059" cy="3067200"/>
            <wp:effectExtent l="0" t="0" r="2540" b="0"/>
            <wp:docPr id="2" name="Wykres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7F88" w:rsidRP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BD53B1">
        <w:rPr>
          <w:rFonts w:ascii="Verdana" w:hAnsi="Verdana" w:cs="Tahoma"/>
          <w:b/>
          <w:sz w:val="20"/>
          <w:szCs w:val="20"/>
        </w:rPr>
        <w:t xml:space="preserve"> </w:t>
      </w:r>
      <w:r w:rsidR="009F70E4">
        <w:rPr>
          <w:rFonts w:ascii="Verdana" w:hAnsi="Verdana" w:cs="Tahoma"/>
          <w:b/>
          <w:sz w:val="20"/>
          <w:szCs w:val="20"/>
        </w:rPr>
        <w:t>kwietniu</w:t>
      </w:r>
      <w:r w:rsidR="00341340">
        <w:rPr>
          <w:rFonts w:ascii="Verdana" w:hAnsi="Verdana" w:cs="Tahoma"/>
          <w:b/>
          <w:sz w:val="20"/>
          <w:szCs w:val="20"/>
        </w:rPr>
        <w:t xml:space="preserve"> 2019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9F70E4" w:rsidRDefault="00EC3B6B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zestawieniu</w:t>
      </w:r>
      <w:r w:rsidR="00D653AB" w:rsidRPr="00D653AB">
        <w:rPr>
          <w:rFonts w:ascii="Verdana" w:hAnsi="Verdana"/>
          <w:sz w:val="20"/>
          <w:szCs w:val="20"/>
        </w:rPr>
        <w:t xml:space="preserve"> polskich piłkarzy </w:t>
      </w:r>
      <w:r w:rsidR="00640D13">
        <w:rPr>
          <w:rFonts w:ascii="Verdana" w:hAnsi="Verdana"/>
          <w:sz w:val="20"/>
          <w:szCs w:val="20"/>
        </w:rPr>
        <w:t>będących zawodnikami klubów jednej z</w:t>
      </w:r>
      <w:r w:rsidR="00D653AB" w:rsidRPr="00D653AB">
        <w:rPr>
          <w:rFonts w:ascii="Verdana" w:hAnsi="Verdana"/>
          <w:sz w:val="20"/>
          <w:szCs w:val="20"/>
        </w:rPr>
        <w:t xml:space="preserve"> pięciu najs</w:t>
      </w:r>
      <w:r w:rsidR="00640D13">
        <w:rPr>
          <w:rFonts w:ascii="Verdana" w:hAnsi="Verdana"/>
          <w:sz w:val="20"/>
          <w:szCs w:val="20"/>
        </w:rPr>
        <w:t xml:space="preserve">ilniejszych europejskich lig, </w:t>
      </w:r>
      <w:r w:rsidR="009F70E4">
        <w:rPr>
          <w:rFonts w:ascii="Verdana" w:hAnsi="Verdana"/>
          <w:sz w:val="20"/>
          <w:szCs w:val="20"/>
        </w:rPr>
        <w:t>Krzysztof Piątek po raz kolejny zdetronizował Roberta Lewandowskiego</w:t>
      </w:r>
      <w:r w:rsidR="00640D13">
        <w:rPr>
          <w:rFonts w:ascii="Verdana" w:hAnsi="Verdana"/>
          <w:sz w:val="20"/>
          <w:szCs w:val="20"/>
        </w:rPr>
        <w:t xml:space="preserve">. </w:t>
      </w:r>
      <w:r w:rsidR="009F70E4">
        <w:rPr>
          <w:rFonts w:ascii="Verdana" w:hAnsi="Verdana"/>
          <w:sz w:val="20"/>
          <w:szCs w:val="20"/>
        </w:rPr>
        <w:t>Różnica może wynikać z liczby roz</w:t>
      </w:r>
      <w:r w:rsidR="008566ED">
        <w:rPr>
          <w:rFonts w:ascii="Verdana" w:hAnsi="Verdana"/>
          <w:sz w:val="20"/>
          <w:szCs w:val="20"/>
        </w:rPr>
        <w:t>e</w:t>
      </w:r>
      <w:r w:rsidR="009F70E4">
        <w:rPr>
          <w:rFonts w:ascii="Verdana" w:hAnsi="Verdana"/>
          <w:sz w:val="20"/>
          <w:szCs w:val="20"/>
        </w:rPr>
        <w:t>granych w kwietniu spotkań - napastnik AC Milan zagrał w jednym meczu więcej. O Piątku częściej pisano w Internecie, a o Lewandowskim w prasie. Dodatkowo napastnik Bayernu Monachium częściej gościł na okładkach gazet - 11:4. Za ich plecami nie doszło do większych zmian - podium uzupełnił A</w:t>
      </w:r>
      <w:r w:rsidR="00B35CD7">
        <w:rPr>
          <w:rFonts w:ascii="Verdana" w:hAnsi="Verdana"/>
          <w:sz w:val="20"/>
          <w:szCs w:val="20"/>
        </w:rPr>
        <w:t>rkadiusz Milik, a w pierwszej dziesiątce</w:t>
      </w:r>
      <w:r w:rsidR="009F70E4">
        <w:rPr>
          <w:rFonts w:ascii="Verdana" w:hAnsi="Verdana"/>
          <w:sz w:val="20"/>
          <w:szCs w:val="20"/>
        </w:rPr>
        <w:t xml:space="preserve"> znalazło się aż siedmiu piłkarzy na co dzień występujących w klubach włoskiej Serie A.</w:t>
      </w:r>
    </w:p>
    <w:p w:rsidR="00B81C53" w:rsidRDefault="009F70E4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37D02885" wp14:editId="2A07D2B3">
            <wp:extent cx="5446059" cy="3981450"/>
            <wp:effectExtent l="0" t="0" r="2540" b="0"/>
            <wp:docPr id="3" name="Wykres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C21325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966142">
        <w:rPr>
          <w:rFonts w:ascii="Verdana" w:hAnsi="Verdana" w:cs="Tahoma"/>
          <w:b/>
          <w:sz w:val="20"/>
          <w:szCs w:val="20"/>
        </w:rPr>
        <w:t>kwietniu</w:t>
      </w:r>
      <w:r w:rsidR="00341340">
        <w:rPr>
          <w:rFonts w:ascii="Verdana" w:hAnsi="Verdana" w:cs="Tahoma"/>
          <w:b/>
          <w:sz w:val="20"/>
          <w:szCs w:val="20"/>
        </w:rPr>
        <w:t xml:space="preserve"> 2019</w:t>
      </w:r>
      <w:r w:rsidR="00BB3D42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F13640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3E453F" w:rsidRDefault="003E453F" w:rsidP="00BB3D42">
      <w:pPr>
        <w:jc w:val="both"/>
        <w:rPr>
          <w:rFonts w:ascii="Verdana" w:hAnsi="Verdana"/>
          <w:i/>
          <w:sz w:val="20"/>
          <w:szCs w:val="20"/>
        </w:rPr>
      </w:pP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7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3E453F" w:rsidRDefault="003E453F" w:rsidP="00BB3D42">
      <w:pPr>
        <w:pStyle w:val="NormalnyWeb"/>
        <w:rPr>
          <w:rFonts w:ascii="Verdana" w:hAnsi="Verdana"/>
          <w:sz w:val="20"/>
          <w:szCs w:val="20"/>
          <w:u w:val="single"/>
        </w:rPr>
      </w:pP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8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bookmarkStart w:id="0" w:name="_GoBack"/>
      <w:bookmarkEnd w:id="0"/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80EF2"/>
    <w:rsid w:val="000945AD"/>
    <w:rsid w:val="000A1BF2"/>
    <w:rsid w:val="000E3B9E"/>
    <w:rsid w:val="00110FCF"/>
    <w:rsid w:val="00114B6F"/>
    <w:rsid w:val="00146EC0"/>
    <w:rsid w:val="001477D6"/>
    <w:rsid w:val="001540EE"/>
    <w:rsid w:val="00176C60"/>
    <w:rsid w:val="001A435A"/>
    <w:rsid w:val="001C5133"/>
    <w:rsid w:val="001D0D93"/>
    <w:rsid w:val="0020466A"/>
    <w:rsid w:val="002100F7"/>
    <w:rsid w:val="002201F8"/>
    <w:rsid w:val="00221CC6"/>
    <w:rsid w:val="00226848"/>
    <w:rsid w:val="00226F76"/>
    <w:rsid w:val="00241AB2"/>
    <w:rsid w:val="00247F88"/>
    <w:rsid w:val="002748AD"/>
    <w:rsid w:val="00285537"/>
    <w:rsid w:val="00291294"/>
    <w:rsid w:val="002A47F5"/>
    <w:rsid w:val="002B120E"/>
    <w:rsid w:val="002B797D"/>
    <w:rsid w:val="002D3005"/>
    <w:rsid w:val="002D43F7"/>
    <w:rsid w:val="002F6F41"/>
    <w:rsid w:val="0030060A"/>
    <w:rsid w:val="00302623"/>
    <w:rsid w:val="00302883"/>
    <w:rsid w:val="00310ECC"/>
    <w:rsid w:val="00335D68"/>
    <w:rsid w:val="00341340"/>
    <w:rsid w:val="0036068F"/>
    <w:rsid w:val="00364DC5"/>
    <w:rsid w:val="003659D6"/>
    <w:rsid w:val="00384703"/>
    <w:rsid w:val="0039405D"/>
    <w:rsid w:val="00394E7F"/>
    <w:rsid w:val="003D50BD"/>
    <w:rsid w:val="003E453F"/>
    <w:rsid w:val="00434677"/>
    <w:rsid w:val="0044665C"/>
    <w:rsid w:val="0045392D"/>
    <w:rsid w:val="0046393C"/>
    <w:rsid w:val="00467EEA"/>
    <w:rsid w:val="00480937"/>
    <w:rsid w:val="004A152F"/>
    <w:rsid w:val="004D5854"/>
    <w:rsid w:val="00503E2C"/>
    <w:rsid w:val="00562442"/>
    <w:rsid w:val="00563CB2"/>
    <w:rsid w:val="005717E8"/>
    <w:rsid w:val="005762BA"/>
    <w:rsid w:val="00591338"/>
    <w:rsid w:val="005A4A80"/>
    <w:rsid w:val="005B1D13"/>
    <w:rsid w:val="005B28CF"/>
    <w:rsid w:val="005C2FE4"/>
    <w:rsid w:val="005C3038"/>
    <w:rsid w:val="005E6826"/>
    <w:rsid w:val="005F65E7"/>
    <w:rsid w:val="00606806"/>
    <w:rsid w:val="00631176"/>
    <w:rsid w:val="00640D13"/>
    <w:rsid w:val="00641D87"/>
    <w:rsid w:val="00642F18"/>
    <w:rsid w:val="00677B81"/>
    <w:rsid w:val="006A0616"/>
    <w:rsid w:val="006A0D60"/>
    <w:rsid w:val="006C4D4A"/>
    <w:rsid w:val="006D092F"/>
    <w:rsid w:val="006D0EA5"/>
    <w:rsid w:val="006F3397"/>
    <w:rsid w:val="0070535F"/>
    <w:rsid w:val="007068AC"/>
    <w:rsid w:val="00706A70"/>
    <w:rsid w:val="00713905"/>
    <w:rsid w:val="00723DDB"/>
    <w:rsid w:val="00731862"/>
    <w:rsid w:val="00731A80"/>
    <w:rsid w:val="00743962"/>
    <w:rsid w:val="00747C23"/>
    <w:rsid w:val="00767B51"/>
    <w:rsid w:val="00784F5B"/>
    <w:rsid w:val="007909C3"/>
    <w:rsid w:val="0079567E"/>
    <w:rsid w:val="007A2650"/>
    <w:rsid w:val="007B6C23"/>
    <w:rsid w:val="007C6A02"/>
    <w:rsid w:val="007F551A"/>
    <w:rsid w:val="007F5E26"/>
    <w:rsid w:val="00803095"/>
    <w:rsid w:val="00815BE9"/>
    <w:rsid w:val="00827D3A"/>
    <w:rsid w:val="00831426"/>
    <w:rsid w:val="008462E8"/>
    <w:rsid w:val="008566ED"/>
    <w:rsid w:val="00872B92"/>
    <w:rsid w:val="00874475"/>
    <w:rsid w:val="00884548"/>
    <w:rsid w:val="00896E10"/>
    <w:rsid w:val="008A0CC8"/>
    <w:rsid w:val="008D3A45"/>
    <w:rsid w:val="008D7B23"/>
    <w:rsid w:val="008E266C"/>
    <w:rsid w:val="008E4C7B"/>
    <w:rsid w:val="008E7F34"/>
    <w:rsid w:val="00916170"/>
    <w:rsid w:val="00926F26"/>
    <w:rsid w:val="0093284A"/>
    <w:rsid w:val="00934191"/>
    <w:rsid w:val="00966142"/>
    <w:rsid w:val="009B4EFD"/>
    <w:rsid w:val="009C204D"/>
    <w:rsid w:val="009D4A50"/>
    <w:rsid w:val="009F1525"/>
    <w:rsid w:val="009F19B6"/>
    <w:rsid w:val="009F70E4"/>
    <w:rsid w:val="00A12A7E"/>
    <w:rsid w:val="00A158F1"/>
    <w:rsid w:val="00A15D18"/>
    <w:rsid w:val="00A22E05"/>
    <w:rsid w:val="00A448DC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35CD7"/>
    <w:rsid w:val="00B40C30"/>
    <w:rsid w:val="00B65B73"/>
    <w:rsid w:val="00B81C53"/>
    <w:rsid w:val="00BA5CAB"/>
    <w:rsid w:val="00BB13AC"/>
    <w:rsid w:val="00BB2322"/>
    <w:rsid w:val="00BB3D42"/>
    <w:rsid w:val="00BC6747"/>
    <w:rsid w:val="00BD0F5F"/>
    <w:rsid w:val="00BD437D"/>
    <w:rsid w:val="00BD53B1"/>
    <w:rsid w:val="00BE646F"/>
    <w:rsid w:val="00BF5AF4"/>
    <w:rsid w:val="00C06068"/>
    <w:rsid w:val="00C21325"/>
    <w:rsid w:val="00C23ED8"/>
    <w:rsid w:val="00C369FB"/>
    <w:rsid w:val="00C40353"/>
    <w:rsid w:val="00C4397B"/>
    <w:rsid w:val="00C51BF2"/>
    <w:rsid w:val="00C93134"/>
    <w:rsid w:val="00C94154"/>
    <w:rsid w:val="00C97532"/>
    <w:rsid w:val="00CA1985"/>
    <w:rsid w:val="00CB0D4E"/>
    <w:rsid w:val="00CB1EE3"/>
    <w:rsid w:val="00CC2DF4"/>
    <w:rsid w:val="00CD123C"/>
    <w:rsid w:val="00CF2C86"/>
    <w:rsid w:val="00D31B43"/>
    <w:rsid w:val="00D36001"/>
    <w:rsid w:val="00D36C88"/>
    <w:rsid w:val="00D37A5F"/>
    <w:rsid w:val="00D43271"/>
    <w:rsid w:val="00D5276C"/>
    <w:rsid w:val="00D613FF"/>
    <w:rsid w:val="00D653AB"/>
    <w:rsid w:val="00D65A33"/>
    <w:rsid w:val="00D80FAA"/>
    <w:rsid w:val="00D97D05"/>
    <w:rsid w:val="00DB2A2C"/>
    <w:rsid w:val="00DB3D57"/>
    <w:rsid w:val="00DC5C3C"/>
    <w:rsid w:val="00DE1CF7"/>
    <w:rsid w:val="00E91766"/>
    <w:rsid w:val="00EA2C1E"/>
    <w:rsid w:val="00EC3B6B"/>
    <w:rsid w:val="00EC68CC"/>
    <w:rsid w:val="00ED0A59"/>
    <w:rsid w:val="00EE05F1"/>
    <w:rsid w:val="00F13640"/>
    <w:rsid w:val="00F14853"/>
    <w:rsid w:val="00F14E9C"/>
    <w:rsid w:val="00F32BED"/>
    <w:rsid w:val="00F37313"/>
    <w:rsid w:val="00F72AC8"/>
    <w:rsid w:val="00FC532A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085BC-9217-4AB7-8892-0A49B259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zwisko@psmm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mm.pl/pl/raporty-specjal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hyperlink" Target="http://www.facebook.com/PSMMonitoring" TargetMode="External"/><Relationship Id="rId5" Type="http://schemas.openxmlformats.org/officeDocument/2006/relationships/chart" Target="charts/chart2.xml"/><Relationship Id="rId10" Type="http://schemas.openxmlformats.org/officeDocument/2006/relationships/hyperlink" Target="http://www.twitter.com/PSMMonitoring" TargetMode="External"/><Relationship Id="rId4" Type="http://schemas.openxmlformats.org/officeDocument/2006/relationships/chart" Target="charts/chart1.xml"/><Relationship Id="rId9" Type="http://schemas.openxmlformats.org/officeDocument/2006/relationships/hyperlink" Target="http://www.psmm.pl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M\Desktop\pilka%20w%20grze%20kwiecien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M\Desktop\pilka%20w%20grze%20kwiecien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M\Desktop\pilka%20w%20grze%20kwiecien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KM'!$A$21:$A$30</c:f>
              <c:strCache>
                <c:ptCount val="10"/>
                <c:pt idx="0">
                  <c:v>Zagłębie Lubin</c:v>
                </c:pt>
                <c:pt idx="1">
                  <c:v>Korona Kielce</c:v>
                </c:pt>
                <c:pt idx="2">
                  <c:v>Pogoń Szczecin</c:v>
                </c:pt>
                <c:pt idx="3">
                  <c:v>Jagiellonia Białystok</c:v>
                </c:pt>
                <c:pt idx="4">
                  <c:v>Śląsk Wrocław</c:v>
                </c:pt>
                <c:pt idx="5">
                  <c:v>Cracovia </c:v>
                </c:pt>
                <c:pt idx="6">
                  <c:v>Wisła Kraków</c:v>
                </c:pt>
                <c:pt idx="7">
                  <c:v>Lech Poznań</c:v>
                </c:pt>
                <c:pt idx="8">
                  <c:v>Lechia Gdańsk</c:v>
                </c:pt>
                <c:pt idx="9">
                  <c:v>Legia Warszawa</c:v>
                </c:pt>
              </c:strCache>
            </c:strRef>
          </c:cat>
          <c:val>
            <c:numRef>
              <c:f>'Wykresy - KM'!$B$21:$B$30</c:f>
              <c:numCache>
                <c:formatCode>General</c:formatCode>
                <c:ptCount val="10"/>
                <c:pt idx="0">
                  <c:v>2336</c:v>
                </c:pt>
                <c:pt idx="1">
                  <c:v>2654</c:v>
                </c:pt>
                <c:pt idx="2">
                  <c:v>2911</c:v>
                </c:pt>
                <c:pt idx="3">
                  <c:v>3039</c:v>
                </c:pt>
                <c:pt idx="4">
                  <c:v>3055</c:v>
                </c:pt>
                <c:pt idx="5">
                  <c:v>3298</c:v>
                </c:pt>
                <c:pt idx="6">
                  <c:v>3652</c:v>
                </c:pt>
                <c:pt idx="7">
                  <c:v>3862</c:v>
                </c:pt>
                <c:pt idx="8">
                  <c:v>4206</c:v>
                </c:pt>
                <c:pt idx="9">
                  <c:v>4790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8407632"/>
        <c:axId val="498409200"/>
      </c:barChart>
      <c:catAx>
        <c:axId val="4984076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98409200"/>
        <c:crosses val="autoZero"/>
        <c:auto val="1"/>
        <c:lblAlgn val="ctr"/>
        <c:lblOffset val="100"/>
        <c:noMultiLvlLbl val="0"/>
      </c:catAx>
      <c:valAx>
        <c:axId val="4984092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9840763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KM'!$A$141:$A$150</c:f>
              <c:strCache>
                <c:ptCount val="10"/>
                <c:pt idx="0">
                  <c:v>Garbarnia Kraków</c:v>
                </c:pt>
                <c:pt idx="1">
                  <c:v>Bruk-Bet Termalica Nieciecza</c:v>
                </c:pt>
                <c:pt idx="2">
                  <c:v>Chrobry Głogów</c:v>
                </c:pt>
                <c:pt idx="3">
                  <c:v>Odra Opole</c:v>
                </c:pt>
                <c:pt idx="4">
                  <c:v>GKS Katowice</c:v>
                </c:pt>
                <c:pt idx="5">
                  <c:v>ŁKS Łódź</c:v>
                </c:pt>
                <c:pt idx="6">
                  <c:v>Podbeskidzie Bielsko-Biała</c:v>
                </c:pt>
                <c:pt idx="7">
                  <c:v>Sandecja Nowy Sącz</c:v>
                </c:pt>
                <c:pt idx="8">
                  <c:v>Stal Mielec</c:v>
                </c:pt>
                <c:pt idx="9">
                  <c:v>Raków Częstochowa</c:v>
                </c:pt>
              </c:strCache>
            </c:strRef>
          </c:cat>
          <c:val>
            <c:numRef>
              <c:f>'Wykresy - KM'!$B$141:$B$150</c:f>
              <c:numCache>
                <c:formatCode>General</c:formatCode>
                <c:ptCount val="10"/>
                <c:pt idx="0">
                  <c:v>752</c:v>
                </c:pt>
                <c:pt idx="1">
                  <c:v>783</c:v>
                </c:pt>
                <c:pt idx="2">
                  <c:v>794</c:v>
                </c:pt>
                <c:pt idx="3">
                  <c:v>794</c:v>
                </c:pt>
                <c:pt idx="4">
                  <c:v>816</c:v>
                </c:pt>
                <c:pt idx="5">
                  <c:v>831</c:v>
                </c:pt>
                <c:pt idx="6">
                  <c:v>886</c:v>
                </c:pt>
                <c:pt idx="7">
                  <c:v>947</c:v>
                </c:pt>
                <c:pt idx="8">
                  <c:v>1034</c:v>
                </c:pt>
                <c:pt idx="9">
                  <c:v>1179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498409984"/>
        <c:axId val="498411552"/>
      </c:barChart>
      <c:catAx>
        <c:axId val="4984099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98411552"/>
        <c:crosses val="autoZero"/>
        <c:auto val="1"/>
        <c:lblAlgn val="ctr"/>
        <c:lblOffset val="100"/>
        <c:noMultiLvlLbl val="0"/>
      </c:catAx>
      <c:valAx>
        <c:axId val="498411552"/>
        <c:scaling>
          <c:orientation val="minMax"/>
          <c:max val="12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9840998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KM'!$A$34:$A$43</c:f>
              <c:strCache>
                <c:ptCount val="10"/>
                <c:pt idx="0">
                  <c:v>Łukasz Skorupski</c:v>
                </c:pt>
                <c:pt idx="1">
                  <c:v>Łukasz Fabiański </c:v>
                </c:pt>
                <c:pt idx="2">
                  <c:v>Łukasz Piszczek</c:v>
                </c:pt>
                <c:pt idx="3">
                  <c:v>Bartosz Bereszyński</c:v>
                </c:pt>
                <c:pt idx="4">
                  <c:v>Bartłomiej Drągowski</c:v>
                </c:pt>
                <c:pt idx="5">
                  <c:v>Piotr Zieliński</c:v>
                </c:pt>
                <c:pt idx="6">
                  <c:v>Wojciech Szczęsny </c:v>
                </c:pt>
                <c:pt idx="7">
                  <c:v>Arkadiusz Milik</c:v>
                </c:pt>
                <c:pt idx="8">
                  <c:v>Robert Lewandowski</c:v>
                </c:pt>
                <c:pt idx="9">
                  <c:v>Krzysztof Piątek</c:v>
                </c:pt>
              </c:strCache>
            </c:strRef>
          </c:cat>
          <c:val>
            <c:numRef>
              <c:f>'Wykresy - KM'!$B$34:$B$43</c:f>
              <c:numCache>
                <c:formatCode>General</c:formatCode>
                <c:ptCount val="10"/>
                <c:pt idx="0">
                  <c:v>237</c:v>
                </c:pt>
                <c:pt idx="1">
                  <c:v>243</c:v>
                </c:pt>
                <c:pt idx="2">
                  <c:v>248</c:v>
                </c:pt>
                <c:pt idx="3">
                  <c:v>257</c:v>
                </c:pt>
                <c:pt idx="4">
                  <c:v>276</c:v>
                </c:pt>
                <c:pt idx="5">
                  <c:v>751</c:v>
                </c:pt>
                <c:pt idx="6">
                  <c:v>870</c:v>
                </c:pt>
                <c:pt idx="7">
                  <c:v>925</c:v>
                </c:pt>
                <c:pt idx="8">
                  <c:v>1561</c:v>
                </c:pt>
                <c:pt idx="9">
                  <c:v>1610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8411160"/>
        <c:axId val="498411944"/>
      </c:barChart>
      <c:catAx>
        <c:axId val="498411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98411944"/>
        <c:crosses val="autoZero"/>
        <c:auto val="1"/>
        <c:lblAlgn val="ctr"/>
        <c:lblOffset val="100"/>
        <c:noMultiLvlLbl val="0"/>
      </c:catAx>
      <c:valAx>
        <c:axId val="498411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9841116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0.72943</cdr:x>
      <cdr:y>0.69409</cdr:y>
    </cdr:from>
    <cdr:to>
      <cdr:x>0.97769</cdr:x>
      <cdr:y>0.85721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972508" y="2128924"/>
          <a:ext cx="1352038" cy="50032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0.64641</cdr:x>
      <cdr:y>0.60845</cdr:y>
    </cdr:from>
    <cdr:to>
      <cdr:x>0.89467</cdr:x>
      <cdr:y>0.73411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46475" y="2422525"/>
          <a:ext cx="1362054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3</cp:revision>
  <dcterms:created xsi:type="dcterms:W3CDTF">2019-05-07T13:46:00Z</dcterms:created>
  <dcterms:modified xsi:type="dcterms:W3CDTF">2019-05-08T10:55:00Z</dcterms:modified>
</cp:coreProperties>
</file>