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5E72D0">
        <w:rPr>
          <w:rFonts w:ascii="Verdana" w:hAnsi="Verdana"/>
          <w:sz w:val="20"/>
          <w:szCs w:val="20"/>
        </w:rPr>
        <w:t>10</w:t>
      </w:r>
      <w:r w:rsidR="00713905">
        <w:rPr>
          <w:rFonts w:ascii="Verdana" w:hAnsi="Verdana"/>
          <w:sz w:val="20"/>
          <w:szCs w:val="20"/>
        </w:rPr>
        <w:t xml:space="preserve"> grudnia </w:t>
      </w:r>
      <w:r w:rsidRPr="002100F7">
        <w:rPr>
          <w:rFonts w:ascii="Verdana" w:hAnsi="Verdana"/>
          <w:sz w:val="20"/>
          <w:szCs w:val="20"/>
        </w:rPr>
        <w:t>2018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713905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Efekt </w:t>
      </w:r>
      <w:proofErr w:type="spellStart"/>
      <w:r>
        <w:rPr>
          <w:rFonts w:ascii="Verdana" w:hAnsi="Verdana"/>
          <w:sz w:val="20"/>
          <w:szCs w:val="20"/>
        </w:rPr>
        <w:t>Nawałki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C6747">
        <w:rPr>
          <w:rFonts w:ascii="Verdana" w:hAnsi="Verdana"/>
          <w:sz w:val="20"/>
          <w:szCs w:val="20"/>
        </w:rPr>
        <w:t>zakończył panowanie Legii</w:t>
      </w:r>
    </w:p>
    <w:p w:rsidR="00302623" w:rsidRDefault="00022A3D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Zatrudnienie Adama </w:t>
      </w:r>
      <w:proofErr w:type="spellStart"/>
      <w:r>
        <w:rPr>
          <w:rFonts w:ascii="Verdana" w:hAnsi="Verdana"/>
          <w:b/>
          <w:sz w:val="20"/>
          <w:szCs w:val="20"/>
        </w:rPr>
        <w:t>Nawałki</w:t>
      </w:r>
      <w:proofErr w:type="spellEnd"/>
      <w:r>
        <w:rPr>
          <w:rFonts w:ascii="Verdana" w:hAnsi="Verdana"/>
          <w:b/>
          <w:sz w:val="20"/>
          <w:szCs w:val="20"/>
        </w:rPr>
        <w:t xml:space="preserve"> przez Lecha Poznań było zdecydowanie najbardziej medialnym wydarzeniem dotyczącym klubów </w:t>
      </w:r>
      <w:r w:rsidR="00F32BED">
        <w:rPr>
          <w:rFonts w:ascii="Verdana" w:hAnsi="Verdana"/>
          <w:b/>
          <w:sz w:val="20"/>
          <w:szCs w:val="20"/>
        </w:rPr>
        <w:t xml:space="preserve">LOTTO </w:t>
      </w:r>
      <w:r>
        <w:rPr>
          <w:rFonts w:ascii="Verdana" w:hAnsi="Verdana"/>
          <w:b/>
          <w:sz w:val="20"/>
          <w:szCs w:val="20"/>
        </w:rPr>
        <w:t xml:space="preserve">Ekstraklasy w listopadzie. </w:t>
      </w:r>
      <w:r w:rsidR="005E72D0">
        <w:rPr>
          <w:rFonts w:ascii="Verdana" w:hAnsi="Verdana"/>
          <w:b/>
          <w:sz w:val="20"/>
          <w:szCs w:val="20"/>
        </w:rPr>
        <w:t>Media</w:t>
      </w:r>
      <w:r w:rsidR="00F32BED">
        <w:rPr>
          <w:rFonts w:ascii="Verdana" w:hAnsi="Verdana"/>
          <w:b/>
          <w:sz w:val="20"/>
          <w:szCs w:val="20"/>
        </w:rPr>
        <w:t xml:space="preserve"> </w:t>
      </w:r>
      <w:r w:rsidR="005F65E7">
        <w:rPr>
          <w:rFonts w:ascii="Verdana" w:hAnsi="Verdana"/>
          <w:b/>
          <w:sz w:val="20"/>
          <w:szCs w:val="20"/>
        </w:rPr>
        <w:t>„</w:t>
      </w:r>
      <w:r w:rsidR="00F32BED">
        <w:rPr>
          <w:rFonts w:ascii="Verdana" w:hAnsi="Verdana"/>
          <w:b/>
          <w:sz w:val="20"/>
          <w:szCs w:val="20"/>
        </w:rPr>
        <w:t>oszalały</w:t>
      </w:r>
      <w:r w:rsidR="005F65E7">
        <w:rPr>
          <w:rFonts w:ascii="Verdana" w:hAnsi="Verdana"/>
          <w:b/>
          <w:sz w:val="20"/>
          <w:szCs w:val="20"/>
        </w:rPr>
        <w:t>”</w:t>
      </w:r>
      <w:r w:rsidR="00F32BED">
        <w:rPr>
          <w:rFonts w:ascii="Verdana" w:hAnsi="Verdana"/>
          <w:b/>
          <w:sz w:val="20"/>
          <w:szCs w:val="20"/>
        </w:rPr>
        <w:t xml:space="preserve"> na punkcie byłego selekcjonera reprezentacji Polski</w:t>
      </w:r>
      <w:r w:rsidR="005E72D0">
        <w:rPr>
          <w:rFonts w:ascii="Verdana" w:hAnsi="Verdana"/>
          <w:b/>
          <w:sz w:val="20"/>
          <w:szCs w:val="20"/>
        </w:rPr>
        <w:t>. W</w:t>
      </w:r>
      <w:r w:rsidR="00F32BED">
        <w:rPr>
          <w:rFonts w:ascii="Verdana" w:hAnsi="Verdana"/>
          <w:b/>
          <w:sz w:val="20"/>
          <w:szCs w:val="20"/>
        </w:rPr>
        <w:t>ywindował</w:t>
      </w:r>
      <w:r w:rsidR="005E72D0">
        <w:rPr>
          <w:rFonts w:ascii="Verdana" w:hAnsi="Verdana"/>
          <w:b/>
          <w:sz w:val="20"/>
          <w:szCs w:val="20"/>
        </w:rPr>
        <w:t>o</w:t>
      </w:r>
      <w:r w:rsidR="00F32BED">
        <w:rPr>
          <w:rFonts w:ascii="Verdana" w:hAnsi="Verdana"/>
          <w:b/>
          <w:sz w:val="20"/>
          <w:szCs w:val="20"/>
        </w:rPr>
        <w:t xml:space="preserve"> </w:t>
      </w:r>
      <w:r w:rsidR="005E72D0">
        <w:rPr>
          <w:rFonts w:ascii="Verdana" w:hAnsi="Verdana"/>
          <w:b/>
          <w:sz w:val="20"/>
          <w:szCs w:val="20"/>
        </w:rPr>
        <w:t>to</w:t>
      </w:r>
      <w:r>
        <w:rPr>
          <w:rFonts w:ascii="Verdana" w:hAnsi="Verdana"/>
          <w:b/>
          <w:sz w:val="20"/>
          <w:szCs w:val="20"/>
        </w:rPr>
        <w:t xml:space="preserve"> „</w:t>
      </w:r>
      <w:proofErr w:type="spellStart"/>
      <w:r>
        <w:rPr>
          <w:rFonts w:ascii="Verdana" w:hAnsi="Verdana"/>
          <w:b/>
          <w:sz w:val="20"/>
          <w:szCs w:val="20"/>
        </w:rPr>
        <w:t>Kolejorza</w:t>
      </w:r>
      <w:proofErr w:type="spellEnd"/>
      <w:r>
        <w:rPr>
          <w:rFonts w:ascii="Verdana" w:hAnsi="Verdana"/>
          <w:b/>
          <w:sz w:val="20"/>
          <w:szCs w:val="20"/>
        </w:rPr>
        <w:t xml:space="preserve">” na pierwsze miejsce medialnego zestawienia </w:t>
      </w:r>
      <w:r w:rsidR="00302623">
        <w:rPr>
          <w:rFonts w:ascii="Verdana" w:hAnsi="Verdana"/>
          <w:b/>
          <w:sz w:val="20"/>
          <w:szCs w:val="20"/>
        </w:rPr>
        <w:t xml:space="preserve">- </w:t>
      </w:r>
      <w:r w:rsidR="00302623" w:rsidRPr="00302623">
        <w:rPr>
          <w:rFonts w:ascii="Verdana" w:hAnsi="Verdana"/>
          <w:b/>
          <w:sz w:val="20"/>
          <w:szCs w:val="20"/>
        </w:rPr>
        <w:t xml:space="preserve">wynika z analizy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D613FF" w:rsidRDefault="00C40353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Saga z udziałem Adama </w:t>
      </w:r>
      <w:proofErr w:type="spellStart"/>
      <w:r>
        <w:rPr>
          <w:rFonts w:ascii="Verdana" w:hAnsi="Verdana"/>
          <w:sz w:val="20"/>
          <w:szCs w:val="20"/>
        </w:rPr>
        <w:t>Nawałki</w:t>
      </w:r>
      <w:proofErr w:type="spellEnd"/>
      <w:r>
        <w:rPr>
          <w:rFonts w:ascii="Verdana" w:hAnsi="Verdana"/>
          <w:sz w:val="20"/>
          <w:szCs w:val="20"/>
        </w:rPr>
        <w:t xml:space="preserve"> tak naprawdę trwała przez cały miesiąc. </w:t>
      </w:r>
      <w:r w:rsidR="00C21325">
        <w:rPr>
          <w:rFonts w:ascii="Verdana" w:hAnsi="Verdana"/>
          <w:sz w:val="20"/>
          <w:szCs w:val="20"/>
        </w:rPr>
        <w:t>Wiele</w:t>
      </w:r>
      <w:r>
        <w:rPr>
          <w:rFonts w:ascii="Verdana" w:hAnsi="Verdana"/>
          <w:sz w:val="20"/>
          <w:szCs w:val="20"/>
        </w:rPr>
        <w:t xml:space="preserve"> razy w tygodniu pojawiały się nowe informacje na temat</w:t>
      </w:r>
      <w:r w:rsidR="00C21325">
        <w:rPr>
          <w:rFonts w:ascii="Verdana" w:hAnsi="Verdana"/>
          <w:sz w:val="20"/>
          <w:szCs w:val="20"/>
        </w:rPr>
        <w:t xml:space="preserve"> zatrudnienia</w:t>
      </w:r>
      <w:r>
        <w:rPr>
          <w:rFonts w:ascii="Verdana" w:hAnsi="Verdana"/>
          <w:sz w:val="20"/>
          <w:szCs w:val="20"/>
        </w:rPr>
        <w:t xml:space="preserve"> tego trenera w klubie ze stolicy Wielkopolski. Oficjalne potwierdzenie nastąpiło 25. listopada, a wraz z nim prawdziwa lawina komentarzy w mediach. </w:t>
      </w:r>
    </w:p>
    <w:p w:rsidR="00C40353" w:rsidRDefault="00C40353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przez cały miesiąc nie odnotowała żadnego tematu, który pozwoliłby jej wygenerować zn</w:t>
      </w:r>
      <w:r w:rsidR="00C21325">
        <w:rPr>
          <w:rFonts w:ascii="Verdana" w:hAnsi="Verdana"/>
          <w:sz w:val="20"/>
          <w:szCs w:val="20"/>
        </w:rPr>
        <w:t>aczącą</w:t>
      </w:r>
      <w:r>
        <w:rPr>
          <w:rFonts w:ascii="Verdana" w:hAnsi="Verdana"/>
          <w:sz w:val="20"/>
          <w:szCs w:val="20"/>
        </w:rPr>
        <w:t xml:space="preserve"> liczbę dodatkowych informacji. Wielokrotnie</w:t>
      </w:r>
      <w:r w:rsidR="00D613FF">
        <w:rPr>
          <w:rFonts w:ascii="Verdana" w:hAnsi="Verdana"/>
          <w:sz w:val="20"/>
          <w:szCs w:val="20"/>
        </w:rPr>
        <w:t xml:space="preserve"> sama siła marki, jaką jest Legia,</w:t>
      </w:r>
      <w:r>
        <w:rPr>
          <w:rFonts w:ascii="Verdana" w:hAnsi="Verdana"/>
          <w:sz w:val="20"/>
          <w:szCs w:val="20"/>
        </w:rPr>
        <w:t xml:space="preserve"> </w:t>
      </w:r>
      <w:r w:rsidR="00D613FF">
        <w:rPr>
          <w:rFonts w:ascii="Verdana" w:hAnsi="Verdana"/>
          <w:sz w:val="20"/>
          <w:szCs w:val="20"/>
        </w:rPr>
        <w:t xml:space="preserve">wystarczała na zwycięstwo w </w:t>
      </w:r>
      <w:r w:rsidR="00C21325">
        <w:rPr>
          <w:rFonts w:ascii="Verdana" w:hAnsi="Verdana"/>
          <w:sz w:val="20"/>
          <w:szCs w:val="20"/>
        </w:rPr>
        <w:t xml:space="preserve">tym </w:t>
      </w:r>
      <w:r w:rsidR="00D613FF">
        <w:rPr>
          <w:rFonts w:ascii="Verdana" w:hAnsi="Verdana"/>
          <w:sz w:val="20"/>
          <w:szCs w:val="20"/>
        </w:rPr>
        <w:t xml:space="preserve">medialnym </w:t>
      </w:r>
      <w:r w:rsidR="00C21325">
        <w:rPr>
          <w:rFonts w:ascii="Verdana" w:hAnsi="Verdana"/>
          <w:sz w:val="20"/>
          <w:szCs w:val="20"/>
        </w:rPr>
        <w:t>rankingu</w:t>
      </w:r>
      <w:r w:rsidR="00D613FF">
        <w:rPr>
          <w:rFonts w:ascii="Verdana" w:hAnsi="Verdana"/>
          <w:sz w:val="20"/>
          <w:szCs w:val="20"/>
        </w:rPr>
        <w:t>, jednak nie tym razem. To pierwsza zmiana na szczycie od września 2015 r.</w:t>
      </w:r>
    </w:p>
    <w:p w:rsidR="0006396B" w:rsidRDefault="00D613FF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Trzecie miejsce zajął Śląsk</w:t>
      </w:r>
      <w:r w:rsidR="00C21325">
        <w:rPr>
          <w:rFonts w:ascii="Verdana" w:hAnsi="Verdana"/>
          <w:sz w:val="20"/>
          <w:szCs w:val="20"/>
        </w:rPr>
        <w:t xml:space="preserve"> Wrocław</w:t>
      </w:r>
      <w:r>
        <w:rPr>
          <w:rFonts w:ascii="Verdana" w:hAnsi="Verdana"/>
          <w:sz w:val="20"/>
          <w:szCs w:val="20"/>
        </w:rPr>
        <w:t xml:space="preserve">, który wyprzedził </w:t>
      </w:r>
      <w:r w:rsidR="00335D68">
        <w:rPr>
          <w:rFonts w:ascii="Verdana" w:hAnsi="Verdana"/>
          <w:sz w:val="20"/>
          <w:szCs w:val="20"/>
        </w:rPr>
        <w:t>Wisłę Kraków i Lechię Gdańsk. Wrocławianom miejsce na podium pozwoliły zająć… problemy sportowe. Po kompromitującej porażce 0:3 z Wisłą Płock, zarząd klubu postanowił zmniejszyć pensję zawodnikom za listopad (kara została przyjęta przez zespół), a kibice, którzy oglądali ten pojedynek, mogli wejść na kolejny za symboliczną złotówkę. Dodatkowo Śląskowi, tak samo jak piątej Lechii Gdańsk, pomogły informacje o niecodziennej sytuacji podczas losowania 1/8 finału Pucharu Polski, które musiało być powtórzone. W przypadku</w:t>
      </w:r>
      <w:r w:rsidR="005E72D0">
        <w:rPr>
          <w:rFonts w:ascii="Verdana" w:hAnsi="Verdana"/>
          <w:sz w:val="20"/>
          <w:szCs w:val="20"/>
        </w:rPr>
        <w:t xml:space="preserve"> gdańszczan dodatkowe doniesienia</w:t>
      </w:r>
      <w:r w:rsidR="00335D68">
        <w:rPr>
          <w:rFonts w:ascii="Verdana" w:hAnsi="Verdana"/>
          <w:sz w:val="20"/>
          <w:szCs w:val="20"/>
        </w:rPr>
        <w:t xml:space="preserve"> wygenerowały publikacje o świetnej postawie na boisku.</w:t>
      </w:r>
      <w:r w:rsidR="0079567E">
        <w:rPr>
          <w:rFonts w:ascii="Verdana" w:hAnsi="Verdana"/>
          <w:sz w:val="20"/>
          <w:szCs w:val="20"/>
        </w:rPr>
        <w:t xml:space="preserve"> </w:t>
      </w:r>
      <w:r w:rsidR="005E72D0">
        <w:rPr>
          <w:rFonts w:ascii="Verdana" w:hAnsi="Verdana"/>
          <w:sz w:val="20"/>
          <w:szCs w:val="20"/>
        </w:rPr>
        <w:t>Zajmująca 4. pozycję k</w:t>
      </w:r>
      <w:r w:rsidR="00C21325">
        <w:rPr>
          <w:rFonts w:ascii="Verdana" w:hAnsi="Verdana"/>
          <w:sz w:val="20"/>
          <w:szCs w:val="20"/>
        </w:rPr>
        <w:t>rakowska Wisła</w:t>
      </w:r>
      <w:r w:rsidR="0079567E">
        <w:rPr>
          <w:rFonts w:ascii="Verdana" w:hAnsi="Verdana"/>
          <w:sz w:val="20"/>
          <w:szCs w:val="20"/>
        </w:rPr>
        <w:t xml:space="preserve"> przez cały </w:t>
      </w:r>
      <w:r w:rsidR="00C21325">
        <w:rPr>
          <w:rFonts w:ascii="Verdana" w:hAnsi="Verdana"/>
          <w:sz w:val="20"/>
          <w:szCs w:val="20"/>
        </w:rPr>
        <w:t>listopad</w:t>
      </w:r>
      <w:r w:rsidR="0079567E">
        <w:rPr>
          <w:rFonts w:ascii="Verdana" w:hAnsi="Verdana"/>
          <w:sz w:val="20"/>
          <w:szCs w:val="20"/>
        </w:rPr>
        <w:t xml:space="preserve"> </w:t>
      </w:r>
      <w:r w:rsidR="00C21325">
        <w:rPr>
          <w:rFonts w:ascii="Verdana" w:hAnsi="Verdana"/>
          <w:sz w:val="20"/>
          <w:szCs w:val="20"/>
        </w:rPr>
        <w:t xml:space="preserve">borykała się z kolejno pojawiającymi się informacjami o problemach </w:t>
      </w:r>
      <w:r w:rsidR="0079567E">
        <w:rPr>
          <w:rFonts w:ascii="Verdana" w:hAnsi="Verdana"/>
          <w:sz w:val="20"/>
          <w:szCs w:val="20"/>
        </w:rPr>
        <w:t>finansowych i organizacyjnych.</w:t>
      </w:r>
    </w:p>
    <w:p w:rsidR="0093284A" w:rsidRPr="002100F7" w:rsidRDefault="0079567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80549AA" wp14:editId="036A2BE1">
            <wp:extent cx="5153025" cy="290512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Pr="005E72D0" w:rsidRDefault="002100F7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5E72D0">
        <w:rPr>
          <w:rFonts w:ascii="Verdana" w:hAnsi="Verdana" w:cs="Tahoma"/>
          <w:b/>
          <w:sz w:val="18"/>
          <w:szCs w:val="18"/>
        </w:rPr>
        <w:t>Wykres 1. TOP 10 najbardziej medial</w:t>
      </w:r>
      <w:r w:rsidR="00ED0A59" w:rsidRPr="005E72D0">
        <w:rPr>
          <w:rFonts w:ascii="Verdana" w:hAnsi="Verdana" w:cs="Tahoma"/>
          <w:b/>
          <w:sz w:val="18"/>
          <w:szCs w:val="18"/>
        </w:rPr>
        <w:t>n</w:t>
      </w:r>
      <w:r w:rsidR="00563CB2" w:rsidRPr="005E72D0">
        <w:rPr>
          <w:rFonts w:ascii="Verdana" w:hAnsi="Verdana" w:cs="Tahoma"/>
          <w:b/>
          <w:sz w:val="18"/>
          <w:szCs w:val="18"/>
        </w:rPr>
        <w:t xml:space="preserve">ych drużyn LOTTO Ekstraklasy w </w:t>
      </w:r>
      <w:r w:rsidR="0079567E" w:rsidRPr="005E72D0">
        <w:rPr>
          <w:rFonts w:ascii="Verdana" w:hAnsi="Verdana" w:cs="Tahoma"/>
          <w:b/>
          <w:sz w:val="18"/>
          <w:szCs w:val="18"/>
        </w:rPr>
        <w:t>listopadzie</w:t>
      </w:r>
      <w:r w:rsidR="00563CB2" w:rsidRPr="005E72D0">
        <w:rPr>
          <w:rFonts w:ascii="Verdana" w:hAnsi="Verdana" w:cs="Tahoma"/>
          <w:b/>
          <w:sz w:val="18"/>
          <w:szCs w:val="18"/>
        </w:rPr>
        <w:t xml:space="preserve"> </w:t>
      </w:r>
      <w:r w:rsidRPr="005E72D0">
        <w:rPr>
          <w:rFonts w:ascii="Verdana" w:hAnsi="Verdana" w:cs="Tahoma"/>
          <w:b/>
          <w:sz w:val="18"/>
          <w:szCs w:val="18"/>
        </w:rPr>
        <w:t>2018 (prasa i wybrane strony internetowe)</w:t>
      </w:r>
    </w:p>
    <w:p w:rsidR="0079567E" w:rsidRDefault="0079567E" w:rsidP="00BD53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Fortuna 1. Lidze </w:t>
      </w:r>
      <w:r w:rsidR="006A0616">
        <w:rPr>
          <w:rFonts w:ascii="Verdana" w:hAnsi="Verdana"/>
          <w:sz w:val="20"/>
          <w:szCs w:val="20"/>
        </w:rPr>
        <w:t xml:space="preserve">listopad stał pod znakiem Rakowa Częstochowa. </w:t>
      </w:r>
      <w:r w:rsidR="00827D3A">
        <w:rPr>
          <w:rFonts w:ascii="Verdana" w:hAnsi="Verdana"/>
          <w:sz w:val="20"/>
          <w:szCs w:val="20"/>
        </w:rPr>
        <w:t>Piłkarze klubu spod Jasnej Góry po sensacyjnym wyeliminowaniu Lecha Poznań z Pucharu Polski jeszcze w październiku poszli za ciosem</w:t>
      </w:r>
      <w:r w:rsidR="00C21325">
        <w:rPr>
          <w:rFonts w:ascii="Verdana" w:hAnsi="Verdana"/>
          <w:sz w:val="20"/>
          <w:szCs w:val="20"/>
        </w:rPr>
        <w:t xml:space="preserve"> w ligowych rozgrywkach</w:t>
      </w:r>
      <w:r w:rsidR="00827D3A">
        <w:rPr>
          <w:rFonts w:ascii="Verdana" w:hAnsi="Verdana"/>
          <w:sz w:val="20"/>
          <w:szCs w:val="20"/>
        </w:rPr>
        <w:t>. W listopadzie wygrali wszystkie cztery spotkania i są na najlepszej drodze do awansu</w:t>
      </w:r>
      <w:r w:rsidR="00C21325">
        <w:rPr>
          <w:rFonts w:ascii="Verdana" w:hAnsi="Verdana"/>
          <w:sz w:val="20"/>
          <w:szCs w:val="20"/>
        </w:rPr>
        <w:t xml:space="preserve"> do LOTTO Ekstraklasy</w:t>
      </w:r>
      <w:r w:rsidR="00827D3A">
        <w:rPr>
          <w:rFonts w:ascii="Verdana" w:hAnsi="Verdana"/>
          <w:sz w:val="20"/>
          <w:szCs w:val="20"/>
        </w:rPr>
        <w:t>. Dodatkowe publikacje (podobnie jak w przypadku kilku innych zespołów Fortuna 1. Ligi, w tym drugiej w zestawieniu Odry Opole) wygenerowało powtórzone losowanie 1/8 finału Pucharu Polski.</w:t>
      </w:r>
      <w:r>
        <w:rPr>
          <w:rFonts w:ascii="Verdana" w:hAnsi="Verdana"/>
          <w:sz w:val="20"/>
          <w:szCs w:val="20"/>
        </w:rPr>
        <w:t xml:space="preserve"> </w:t>
      </w:r>
    </w:p>
    <w:p w:rsidR="00C23ED8" w:rsidRPr="002100F7" w:rsidRDefault="00827D3A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A6CC975" wp14:editId="67575F05">
            <wp:extent cx="5446059" cy="3067200"/>
            <wp:effectExtent l="0" t="0" r="2540" b="0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5E72D0" w:rsidRDefault="00247F88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5E72D0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5E72D0">
        <w:rPr>
          <w:rFonts w:ascii="Verdana" w:hAnsi="Verdana" w:cs="Tahoma"/>
          <w:b/>
          <w:sz w:val="18"/>
          <w:szCs w:val="18"/>
        </w:rPr>
        <w:t>2</w:t>
      </w:r>
      <w:r w:rsidRPr="005E72D0">
        <w:rPr>
          <w:rFonts w:ascii="Verdana" w:hAnsi="Verdana" w:cs="Tahoma"/>
          <w:b/>
          <w:sz w:val="18"/>
          <w:szCs w:val="18"/>
        </w:rPr>
        <w:t xml:space="preserve">. TOP 10 najbardziej medialnych drużyn </w:t>
      </w:r>
      <w:r w:rsidR="003D50BD" w:rsidRPr="005E72D0">
        <w:rPr>
          <w:rFonts w:ascii="Verdana" w:hAnsi="Verdana" w:cs="Tahoma"/>
          <w:b/>
          <w:sz w:val="18"/>
          <w:szCs w:val="18"/>
        </w:rPr>
        <w:t>Fortuny</w:t>
      </w:r>
      <w:r w:rsidRPr="005E72D0">
        <w:rPr>
          <w:rFonts w:ascii="Verdana" w:hAnsi="Verdana" w:cs="Tahoma"/>
          <w:b/>
          <w:sz w:val="18"/>
          <w:szCs w:val="18"/>
        </w:rPr>
        <w:t xml:space="preserve"> 1. ligi w</w:t>
      </w:r>
      <w:r w:rsidR="00BD53B1" w:rsidRPr="005E72D0">
        <w:rPr>
          <w:rFonts w:ascii="Verdana" w:hAnsi="Verdana" w:cs="Tahoma"/>
          <w:b/>
          <w:sz w:val="18"/>
          <w:szCs w:val="18"/>
        </w:rPr>
        <w:t xml:space="preserve"> </w:t>
      </w:r>
      <w:r w:rsidR="00C21325" w:rsidRPr="005E72D0">
        <w:rPr>
          <w:rFonts w:ascii="Verdana" w:hAnsi="Verdana" w:cs="Tahoma"/>
          <w:b/>
          <w:sz w:val="18"/>
          <w:szCs w:val="18"/>
        </w:rPr>
        <w:t>listopadzie</w:t>
      </w:r>
      <w:r w:rsidRPr="005E72D0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F72AC8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występujących w pięciu najsilniejszych europejskich ligach od wielu miesięcy Robert Lewandowski nie ma sobie równych</w:t>
      </w:r>
      <w:r w:rsidR="00D653AB">
        <w:rPr>
          <w:rFonts w:ascii="Verdana" w:hAnsi="Verdana"/>
          <w:sz w:val="20"/>
          <w:szCs w:val="20"/>
        </w:rPr>
        <w:t xml:space="preserve">. </w:t>
      </w:r>
      <w:r w:rsidR="000063C0">
        <w:rPr>
          <w:rFonts w:ascii="Verdana" w:hAnsi="Verdana"/>
          <w:sz w:val="20"/>
          <w:szCs w:val="20"/>
        </w:rPr>
        <w:t>Listopadowe mecze reprezentacji Polski jeszcze powiększyły różnice pomiędzy poszczególnymi piłkarzami. Za plecami snajpera reprezentacji Polski nadal</w:t>
      </w:r>
      <w:r w:rsidR="00F72AC8">
        <w:rPr>
          <w:rFonts w:ascii="Verdana" w:hAnsi="Verdana"/>
          <w:sz w:val="20"/>
          <w:szCs w:val="20"/>
        </w:rPr>
        <w:t xml:space="preserve"> nie dochodzi do wielu zmian - od dawna można t</w:t>
      </w:r>
      <w:r w:rsidR="00C21325">
        <w:rPr>
          <w:rFonts w:ascii="Verdana" w:hAnsi="Verdana"/>
          <w:sz w:val="20"/>
          <w:szCs w:val="20"/>
        </w:rPr>
        <w:t>am znaleźć Piotra Zielińskiego,</w:t>
      </w:r>
      <w:r w:rsidR="00F72AC8">
        <w:rPr>
          <w:rFonts w:ascii="Verdana" w:hAnsi="Verdana"/>
          <w:sz w:val="20"/>
          <w:szCs w:val="20"/>
        </w:rPr>
        <w:t xml:space="preserve"> Arkadiusza Milika</w:t>
      </w:r>
      <w:r w:rsidR="00C21325">
        <w:rPr>
          <w:rFonts w:ascii="Verdana" w:hAnsi="Verdana"/>
          <w:sz w:val="20"/>
          <w:szCs w:val="20"/>
        </w:rPr>
        <w:t>,</w:t>
      </w:r>
      <w:r w:rsidR="00F72AC8">
        <w:rPr>
          <w:rFonts w:ascii="Verdana" w:hAnsi="Verdana"/>
          <w:sz w:val="20"/>
          <w:szCs w:val="20"/>
        </w:rPr>
        <w:t xml:space="preserve"> Kamila Glika czy Wojciecha Szczęsnego. </w:t>
      </w:r>
      <w:r w:rsidR="000063C0">
        <w:rPr>
          <w:rFonts w:ascii="Verdana" w:hAnsi="Verdana"/>
          <w:sz w:val="20"/>
          <w:szCs w:val="20"/>
        </w:rPr>
        <w:t>W listopadzie należy zauważyć zwiększone zainteresowanie Krystianem Bielikiem, którego świetne występy w meczach reprezentacji do lat 21 były szeroko opisywane i komentowane.</w:t>
      </w:r>
    </w:p>
    <w:p w:rsidR="00B81C53" w:rsidRDefault="00D37A5F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9BE2006" wp14:editId="696E76CA">
            <wp:extent cx="5446059" cy="3981450"/>
            <wp:effectExtent l="0" t="0" r="2540" b="0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5E72D0" w:rsidRDefault="00247F88" w:rsidP="00EC3B6B">
      <w:pPr>
        <w:jc w:val="both"/>
        <w:rPr>
          <w:rFonts w:ascii="Verdana" w:hAnsi="Verdana" w:cs="Tahoma"/>
          <w:b/>
          <w:sz w:val="18"/>
          <w:szCs w:val="18"/>
        </w:rPr>
      </w:pPr>
      <w:r w:rsidRPr="005E72D0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5E72D0">
        <w:rPr>
          <w:rFonts w:ascii="Verdana" w:hAnsi="Verdana" w:cs="Tahoma"/>
          <w:b/>
          <w:sz w:val="18"/>
          <w:szCs w:val="18"/>
        </w:rPr>
        <w:t>3</w:t>
      </w:r>
      <w:r w:rsidRPr="005E72D0">
        <w:rPr>
          <w:rFonts w:ascii="Verdana" w:hAnsi="Verdana" w:cs="Tahoma"/>
          <w:b/>
          <w:sz w:val="18"/>
          <w:szCs w:val="18"/>
        </w:rPr>
        <w:t>. TOP 10 najbardziej medialnych polskich piłkarzy występujących w pięciu najmoc</w:t>
      </w:r>
      <w:r w:rsidR="00ED0A59" w:rsidRPr="005E72D0">
        <w:rPr>
          <w:rFonts w:ascii="Verdana" w:hAnsi="Verdana" w:cs="Tahoma"/>
          <w:b/>
          <w:sz w:val="18"/>
          <w:szCs w:val="18"/>
        </w:rPr>
        <w:t>n</w:t>
      </w:r>
      <w:r w:rsidR="00C21325" w:rsidRPr="005E72D0">
        <w:rPr>
          <w:rFonts w:ascii="Verdana" w:hAnsi="Verdana" w:cs="Tahoma"/>
          <w:b/>
          <w:sz w:val="18"/>
          <w:szCs w:val="18"/>
        </w:rPr>
        <w:t xml:space="preserve">iejszych ligach europejskich w listopadzie </w:t>
      </w:r>
      <w:r w:rsidR="00BB3D42" w:rsidRPr="005E72D0">
        <w:rPr>
          <w:rFonts w:ascii="Verdana" w:hAnsi="Verdana" w:cs="Tahoma"/>
          <w:b/>
          <w:sz w:val="18"/>
          <w:szCs w:val="18"/>
        </w:rPr>
        <w:t xml:space="preserve">2018 </w:t>
      </w:r>
      <w:r w:rsidRPr="005E72D0">
        <w:rPr>
          <w:rFonts w:ascii="Verdana" w:hAnsi="Verdana" w:cs="Tahoma"/>
          <w:b/>
          <w:sz w:val="18"/>
          <w:szCs w:val="18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). Badanie prowadzone jest cyklicznie począwszy od 1 marca 2010 roku. Do tej pory </w:t>
      </w:r>
      <w:r>
        <w:rPr>
          <w:rFonts w:ascii="Verdana" w:hAnsi="Verdana"/>
          <w:sz w:val="20"/>
          <w:szCs w:val="20"/>
        </w:rPr>
        <w:t>wzięto 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4E58"/>
    <w:rsid w:val="00075062"/>
    <w:rsid w:val="000A1BF2"/>
    <w:rsid w:val="000E3B9E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6848"/>
    <w:rsid w:val="00226F76"/>
    <w:rsid w:val="00241AB2"/>
    <w:rsid w:val="00247F88"/>
    <w:rsid w:val="00285537"/>
    <w:rsid w:val="002A47F5"/>
    <w:rsid w:val="002B120E"/>
    <w:rsid w:val="002B797D"/>
    <w:rsid w:val="002D3005"/>
    <w:rsid w:val="002D43F7"/>
    <w:rsid w:val="002F6F41"/>
    <w:rsid w:val="0030060A"/>
    <w:rsid w:val="00302623"/>
    <w:rsid w:val="00335D68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7EEA"/>
    <w:rsid w:val="00480937"/>
    <w:rsid w:val="004A152F"/>
    <w:rsid w:val="004D5854"/>
    <w:rsid w:val="00503E2C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E72D0"/>
    <w:rsid w:val="005F65E7"/>
    <w:rsid w:val="00606806"/>
    <w:rsid w:val="00631176"/>
    <w:rsid w:val="00641D87"/>
    <w:rsid w:val="00642F18"/>
    <w:rsid w:val="006A0616"/>
    <w:rsid w:val="006A0D60"/>
    <w:rsid w:val="006C4D4A"/>
    <w:rsid w:val="006D0EA5"/>
    <w:rsid w:val="006F3397"/>
    <w:rsid w:val="0070535F"/>
    <w:rsid w:val="007068AC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15BE9"/>
    <w:rsid w:val="00827D3A"/>
    <w:rsid w:val="008462E8"/>
    <w:rsid w:val="00874475"/>
    <w:rsid w:val="00896E10"/>
    <w:rsid w:val="008A0CC8"/>
    <w:rsid w:val="008D3A45"/>
    <w:rsid w:val="008E266C"/>
    <w:rsid w:val="008E4C7B"/>
    <w:rsid w:val="008E7F34"/>
    <w:rsid w:val="00916170"/>
    <w:rsid w:val="00926F26"/>
    <w:rsid w:val="0093284A"/>
    <w:rsid w:val="00934191"/>
    <w:rsid w:val="00964E3C"/>
    <w:rsid w:val="009B4EFD"/>
    <w:rsid w:val="009C204D"/>
    <w:rsid w:val="009D4A50"/>
    <w:rsid w:val="009F1525"/>
    <w:rsid w:val="009F19B6"/>
    <w:rsid w:val="00A12A7E"/>
    <w:rsid w:val="00A158F1"/>
    <w:rsid w:val="00A15D18"/>
    <w:rsid w:val="00A448DC"/>
    <w:rsid w:val="00A651AF"/>
    <w:rsid w:val="00A72AD7"/>
    <w:rsid w:val="00A8776C"/>
    <w:rsid w:val="00AA434A"/>
    <w:rsid w:val="00AA515B"/>
    <w:rsid w:val="00AD30FB"/>
    <w:rsid w:val="00AF0372"/>
    <w:rsid w:val="00B40C30"/>
    <w:rsid w:val="00B65B73"/>
    <w:rsid w:val="00B81C53"/>
    <w:rsid w:val="00BB13AC"/>
    <w:rsid w:val="00BB2322"/>
    <w:rsid w:val="00BB3D42"/>
    <w:rsid w:val="00BC6747"/>
    <w:rsid w:val="00BD437D"/>
    <w:rsid w:val="00BD53B1"/>
    <w:rsid w:val="00BE646F"/>
    <w:rsid w:val="00BF5AF4"/>
    <w:rsid w:val="00C21325"/>
    <w:rsid w:val="00C23ED8"/>
    <w:rsid w:val="00C369FB"/>
    <w:rsid w:val="00C40353"/>
    <w:rsid w:val="00C4397B"/>
    <w:rsid w:val="00C51BF2"/>
    <w:rsid w:val="00C94154"/>
    <w:rsid w:val="00C97532"/>
    <w:rsid w:val="00CA1985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A2C1E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A8DD-5C17-4770-8CFE-052E390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11.2018\WYKRESY%20Polska%20Pi&#322;ka%20w&#322;a&#347;ciw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11.2018\WYKRESY%20Polska%20Pi&#322;ka%20w&#322;a&#347;ciw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11.2018\WYKRESY%20Polska%20Pi&#322;ka%20w&#322;a&#347;ciw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Korona Kielce</c:v>
                </c:pt>
                <c:pt idx="1">
                  <c:v>Górnik Zabrze</c:v>
                </c:pt>
                <c:pt idx="2">
                  <c:v>Jagiellonia Białystok</c:v>
                </c:pt>
                <c:pt idx="3">
                  <c:v>Cracovia </c:v>
                </c:pt>
                <c:pt idx="4">
                  <c:v>Pogoń Szczecin</c:v>
                </c:pt>
                <c:pt idx="5">
                  <c:v>Lechia Gdańsk</c:v>
                </c:pt>
                <c:pt idx="6">
                  <c:v>Wisła Kraków</c:v>
                </c:pt>
                <c:pt idx="7">
                  <c:v>Śląsk Wrocław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1752</c:v>
                </c:pt>
                <c:pt idx="1">
                  <c:v>1927</c:v>
                </c:pt>
                <c:pt idx="2">
                  <c:v>2069</c:v>
                </c:pt>
                <c:pt idx="3">
                  <c:v>2212</c:v>
                </c:pt>
                <c:pt idx="4">
                  <c:v>2268</c:v>
                </c:pt>
                <c:pt idx="5">
                  <c:v>2361</c:v>
                </c:pt>
                <c:pt idx="6">
                  <c:v>2381</c:v>
                </c:pt>
                <c:pt idx="7">
                  <c:v>2471</c:v>
                </c:pt>
                <c:pt idx="8">
                  <c:v>3118</c:v>
                </c:pt>
                <c:pt idx="9">
                  <c:v>3135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3624856"/>
        <c:axId val="413624464"/>
      </c:barChart>
      <c:catAx>
        <c:axId val="413624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13624464"/>
        <c:crosses val="autoZero"/>
        <c:auto val="1"/>
        <c:lblAlgn val="ctr"/>
        <c:lblOffset val="100"/>
        <c:noMultiLvlLbl val="0"/>
      </c:catAx>
      <c:valAx>
        <c:axId val="413624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36248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GKS Tychy</c:v>
                </c:pt>
                <c:pt idx="1">
                  <c:v>Puszcza Niepołomice</c:v>
                </c:pt>
                <c:pt idx="2">
                  <c:v>Bruk-Bet Termalica Nieciecza</c:v>
                </c:pt>
                <c:pt idx="3">
                  <c:v>Sandecja Nowy Sącz</c:v>
                </c:pt>
                <c:pt idx="4">
                  <c:v>Chrobry Głogów</c:v>
                </c:pt>
                <c:pt idx="5">
                  <c:v>Stal Mielec</c:v>
                </c:pt>
                <c:pt idx="6">
                  <c:v>Podbeskidzie Bielsko-Biała</c:v>
                </c:pt>
                <c:pt idx="7">
                  <c:v>GKS Katowice</c:v>
                </c:pt>
                <c:pt idx="8">
                  <c:v>Odra Opole</c:v>
                </c:pt>
                <c:pt idx="9">
                  <c:v>Raków Częstochowa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687</c:v>
                </c:pt>
                <c:pt idx="1">
                  <c:v>691</c:v>
                </c:pt>
                <c:pt idx="2">
                  <c:v>700</c:v>
                </c:pt>
                <c:pt idx="3">
                  <c:v>743</c:v>
                </c:pt>
                <c:pt idx="4">
                  <c:v>782</c:v>
                </c:pt>
                <c:pt idx="5">
                  <c:v>785</c:v>
                </c:pt>
                <c:pt idx="6">
                  <c:v>785</c:v>
                </c:pt>
                <c:pt idx="7">
                  <c:v>831</c:v>
                </c:pt>
                <c:pt idx="8">
                  <c:v>850</c:v>
                </c:pt>
                <c:pt idx="9">
                  <c:v>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13623288"/>
        <c:axId val="413625640"/>
      </c:barChart>
      <c:catAx>
        <c:axId val="413623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13625640"/>
        <c:crosses val="autoZero"/>
        <c:auto val="1"/>
        <c:lblAlgn val="ctr"/>
        <c:lblOffset val="100"/>
        <c:noMultiLvlLbl val="0"/>
      </c:catAx>
      <c:valAx>
        <c:axId val="413625640"/>
        <c:scaling>
          <c:orientation val="minMax"/>
          <c:max val="1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362328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Jakub Błaszczykowski</c:v>
                </c:pt>
                <c:pt idx="1">
                  <c:v>Jan Bednarek</c:v>
                </c:pt>
                <c:pt idx="2">
                  <c:v>Łukasz Piszczek</c:v>
                </c:pt>
                <c:pt idx="3">
                  <c:v>Bartosz Bereszyński</c:v>
                </c:pt>
                <c:pt idx="4">
                  <c:v>Grzegorz Krychowiak</c:v>
                </c:pt>
                <c:pt idx="5">
                  <c:v>Wojciech Szczęsny </c:v>
                </c:pt>
                <c:pt idx="6">
                  <c:v>Kamil Glik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567</c:v>
                </c:pt>
                <c:pt idx="1">
                  <c:v>592</c:v>
                </c:pt>
                <c:pt idx="2">
                  <c:v>605</c:v>
                </c:pt>
                <c:pt idx="3">
                  <c:v>610</c:v>
                </c:pt>
                <c:pt idx="4">
                  <c:v>708</c:v>
                </c:pt>
                <c:pt idx="5">
                  <c:v>844</c:v>
                </c:pt>
                <c:pt idx="6">
                  <c:v>1037</c:v>
                </c:pt>
                <c:pt idx="7">
                  <c:v>1150</c:v>
                </c:pt>
                <c:pt idx="8">
                  <c:v>1220</c:v>
                </c:pt>
                <c:pt idx="9">
                  <c:v>2671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3611136"/>
        <c:axId val="413611920"/>
      </c:barChart>
      <c:catAx>
        <c:axId val="413611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13611920"/>
        <c:crosses val="autoZero"/>
        <c:auto val="1"/>
        <c:lblAlgn val="ctr"/>
        <c:lblOffset val="100"/>
        <c:noMultiLvlLbl val="0"/>
      </c:catAx>
      <c:valAx>
        <c:axId val="413611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36111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0.72943</cdr:x>
      <cdr:y>0.69409</cdr:y>
    </cdr:from>
    <cdr:to>
      <cdr:x>0.97769</cdr:x>
      <cdr:y>0.85721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72508" y="2128924"/>
          <a:ext cx="1352038" cy="5003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2018-12-10T08:07:00Z</dcterms:created>
  <dcterms:modified xsi:type="dcterms:W3CDTF">2018-12-10T08:07:00Z</dcterms:modified>
</cp:coreProperties>
</file>